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2B3" w:rsidRPr="00E009E9" w:rsidRDefault="003742B3" w:rsidP="009C6973">
      <w:pPr>
        <w:jc w:val="center"/>
        <w:rPr>
          <w:rFonts w:cs="Arial"/>
          <w:b/>
          <w:sz w:val="22"/>
          <w:szCs w:val="22"/>
        </w:rPr>
      </w:pPr>
      <w:r w:rsidRPr="00E009E9">
        <w:rPr>
          <w:rFonts w:cs="Arial"/>
          <w:b/>
          <w:sz w:val="22"/>
          <w:szCs w:val="22"/>
        </w:rPr>
        <w:t>RESOLUCIÓN NÚMERO ___________ de fecha ____________</w:t>
      </w:r>
    </w:p>
    <w:p w:rsidR="003742B3" w:rsidRPr="00E009E9" w:rsidRDefault="003742B3" w:rsidP="009C6973">
      <w:pPr>
        <w:jc w:val="center"/>
        <w:rPr>
          <w:rFonts w:cs="Arial"/>
          <w:sz w:val="22"/>
          <w:szCs w:val="22"/>
        </w:rPr>
      </w:pPr>
    </w:p>
    <w:p w:rsidR="003742B3" w:rsidRPr="00E009E9" w:rsidRDefault="003742B3" w:rsidP="009C6973">
      <w:pPr>
        <w:jc w:val="center"/>
        <w:rPr>
          <w:rFonts w:cs="Arial"/>
          <w:sz w:val="22"/>
          <w:szCs w:val="22"/>
        </w:rPr>
      </w:pPr>
    </w:p>
    <w:p w:rsidR="003742B3" w:rsidRPr="00E009E9" w:rsidRDefault="003742B3" w:rsidP="009C6973">
      <w:pPr>
        <w:jc w:val="center"/>
        <w:rPr>
          <w:rFonts w:cs="Arial"/>
          <w:sz w:val="22"/>
          <w:szCs w:val="22"/>
        </w:rPr>
      </w:pPr>
      <w:bookmarkStart w:id="0" w:name="_Hlk159614518"/>
      <w:r w:rsidRPr="00E009E9">
        <w:rPr>
          <w:rFonts w:cs="Arial"/>
          <w:sz w:val="22"/>
          <w:szCs w:val="22"/>
        </w:rPr>
        <w:t>Por medio de la cual se resuelve el recurso de queja dentro de la Investigación Administrativa No</w:t>
      </w:r>
      <w:r w:rsidR="00A04C7E" w:rsidRPr="00E009E9">
        <w:rPr>
          <w:rFonts w:cs="Arial"/>
          <w:sz w:val="22"/>
          <w:szCs w:val="22"/>
        </w:rPr>
        <w:t>.</w:t>
      </w:r>
      <w:r w:rsidRPr="00E009E9">
        <w:rPr>
          <w:rFonts w:cs="Arial"/>
          <w:sz w:val="22"/>
          <w:szCs w:val="22"/>
        </w:rPr>
        <w:t xml:space="preserve"> </w:t>
      </w:r>
      <w:bookmarkEnd w:id="0"/>
      <w:r w:rsidR="006632E9" w:rsidRPr="00E009E9">
        <w:rPr>
          <w:rFonts w:cs="Arial"/>
          <w:sz w:val="22"/>
          <w:szCs w:val="22"/>
        </w:rPr>
        <w:t>7981-2021</w:t>
      </w:r>
      <w:r w:rsidR="00F8234E" w:rsidRPr="00E009E9">
        <w:rPr>
          <w:rFonts w:cs="Arial"/>
          <w:sz w:val="22"/>
          <w:szCs w:val="22"/>
        </w:rPr>
        <w:t xml:space="preserve"> </w:t>
      </w:r>
      <w:r w:rsidRPr="00E009E9">
        <w:rPr>
          <w:rFonts w:cs="Arial"/>
          <w:sz w:val="22"/>
          <w:szCs w:val="22"/>
        </w:rPr>
        <w:t xml:space="preserve">adelantada por la </w:t>
      </w:r>
      <w:r w:rsidR="006632E9" w:rsidRPr="00E009E9">
        <w:rPr>
          <w:rFonts w:cs="Arial"/>
          <w:sz w:val="22"/>
          <w:szCs w:val="22"/>
        </w:rPr>
        <w:t>Subdirección de Vigilancia en Salud Pública</w:t>
      </w:r>
      <w:r w:rsidRPr="00E009E9">
        <w:rPr>
          <w:rFonts w:cs="Arial"/>
          <w:sz w:val="22"/>
          <w:szCs w:val="22"/>
        </w:rPr>
        <w:t xml:space="preserve"> de</w:t>
      </w:r>
      <w:r w:rsidR="006632E9" w:rsidRPr="00E009E9">
        <w:rPr>
          <w:rFonts w:cs="Arial"/>
          <w:sz w:val="22"/>
          <w:szCs w:val="22"/>
        </w:rPr>
        <w:t xml:space="preserve"> </w:t>
      </w:r>
      <w:r w:rsidRPr="00E009E9">
        <w:rPr>
          <w:rFonts w:cs="Arial"/>
          <w:sz w:val="22"/>
          <w:szCs w:val="22"/>
        </w:rPr>
        <w:t>la</w:t>
      </w:r>
      <w:r w:rsidR="006632E9" w:rsidRPr="00E009E9">
        <w:rPr>
          <w:rFonts w:cs="Arial"/>
          <w:sz w:val="22"/>
          <w:szCs w:val="22"/>
        </w:rPr>
        <w:t xml:space="preserve"> Secretarí</w:t>
      </w:r>
      <w:r w:rsidRPr="00E009E9">
        <w:rPr>
          <w:rFonts w:cs="Arial"/>
          <w:sz w:val="22"/>
          <w:szCs w:val="22"/>
        </w:rPr>
        <w:t>a Distrital de Salud de Bogotá.</w:t>
      </w:r>
    </w:p>
    <w:p w:rsidR="003742B3" w:rsidRPr="00E009E9" w:rsidRDefault="003742B3" w:rsidP="009C6973">
      <w:pPr>
        <w:jc w:val="center"/>
        <w:rPr>
          <w:rFonts w:cs="Arial"/>
          <w:sz w:val="22"/>
          <w:szCs w:val="22"/>
        </w:rPr>
      </w:pPr>
    </w:p>
    <w:p w:rsidR="003742B3" w:rsidRPr="00E009E9" w:rsidRDefault="003742B3" w:rsidP="009C6973">
      <w:pPr>
        <w:jc w:val="center"/>
        <w:rPr>
          <w:rFonts w:cs="Arial"/>
          <w:sz w:val="22"/>
          <w:szCs w:val="22"/>
        </w:rPr>
      </w:pPr>
    </w:p>
    <w:p w:rsidR="003742B3" w:rsidRPr="00E009E9" w:rsidRDefault="003742B3" w:rsidP="009C6973">
      <w:pPr>
        <w:jc w:val="center"/>
        <w:rPr>
          <w:rFonts w:cs="Arial"/>
          <w:b/>
          <w:bCs/>
          <w:sz w:val="22"/>
          <w:szCs w:val="22"/>
          <w:lang w:val="es-MX"/>
        </w:rPr>
      </w:pPr>
      <w:r w:rsidRPr="00E009E9">
        <w:rPr>
          <w:rFonts w:cs="Arial"/>
          <w:b/>
          <w:bCs/>
          <w:sz w:val="22"/>
          <w:szCs w:val="22"/>
          <w:lang w:val="es-MX"/>
        </w:rPr>
        <w:t>EL SECRETARIO DISTRITAL DE SALUD</w:t>
      </w:r>
    </w:p>
    <w:p w:rsidR="003742B3" w:rsidRPr="00E009E9" w:rsidRDefault="003742B3" w:rsidP="009C6973">
      <w:pPr>
        <w:jc w:val="center"/>
        <w:rPr>
          <w:rFonts w:cs="Arial"/>
          <w:sz w:val="22"/>
          <w:szCs w:val="22"/>
          <w:lang w:val="es-MX"/>
        </w:rPr>
      </w:pPr>
    </w:p>
    <w:p w:rsidR="003742B3" w:rsidRPr="00E009E9" w:rsidRDefault="003742B3" w:rsidP="009C6973">
      <w:pPr>
        <w:jc w:val="center"/>
        <w:rPr>
          <w:rFonts w:cs="Arial"/>
          <w:sz w:val="22"/>
          <w:szCs w:val="22"/>
          <w:lang w:val="es-MX"/>
        </w:rPr>
      </w:pPr>
    </w:p>
    <w:p w:rsidR="003742B3" w:rsidRPr="00E009E9" w:rsidRDefault="003742B3" w:rsidP="009C6973">
      <w:pPr>
        <w:jc w:val="both"/>
        <w:rPr>
          <w:rFonts w:cs="Arial"/>
          <w:sz w:val="22"/>
          <w:szCs w:val="22"/>
          <w:lang w:val="es-MX"/>
        </w:rPr>
      </w:pPr>
      <w:r w:rsidRPr="00E009E9">
        <w:rPr>
          <w:rFonts w:cs="Arial"/>
          <w:sz w:val="22"/>
          <w:szCs w:val="22"/>
        </w:rPr>
        <w:t>En ejercicio de las facultades legales y reglamentarias y, en especial, las conferidas en el numeral 7 del artículo 3 del Decreto 507 del 06 de noviembre de 2013, y en concordancia con el artículo</w:t>
      </w:r>
      <w:r w:rsidRPr="00E009E9">
        <w:rPr>
          <w:rFonts w:cs="Arial"/>
          <w:sz w:val="22"/>
          <w:szCs w:val="22"/>
          <w:lang w:val="es-MX"/>
        </w:rPr>
        <w:t xml:space="preserve"> 76 del Código de Procedimiento Administrativo y de lo Contencioso Administrativo y, </w:t>
      </w:r>
    </w:p>
    <w:p w:rsidR="003742B3" w:rsidRPr="00E009E9" w:rsidRDefault="003742B3" w:rsidP="009C6973">
      <w:pPr>
        <w:rPr>
          <w:rFonts w:cs="Arial"/>
          <w:sz w:val="22"/>
          <w:szCs w:val="22"/>
          <w:lang w:val="es-MX"/>
        </w:rPr>
      </w:pPr>
    </w:p>
    <w:p w:rsidR="003742B3" w:rsidRPr="00E009E9" w:rsidRDefault="003742B3" w:rsidP="009C6973">
      <w:pPr>
        <w:jc w:val="center"/>
        <w:rPr>
          <w:rFonts w:cs="Arial"/>
          <w:b/>
          <w:bCs/>
          <w:sz w:val="22"/>
          <w:szCs w:val="22"/>
        </w:rPr>
      </w:pPr>
      <w:r w:rsidRPr="00E009E9">
        <w:rPr>
          <w:rFonts w:cs="Arial"/>
          <w:b/>
          <w:bCs/>
          <w:sz w:val="22"/>
          <w:szCs w:val="22"/>
        </w:rPr>
        <w:t>CONSIDERANDO:</w:t>
      </w:r>
    </w:p>
    <w:p w:rsidR="003742B3" w:rsidRPr="00E009E9" w:rsidRDefault="003742B3" w:rsidP="009C6973">
      <w:pPr>
        <w:jc w:val="center"/>
        <w:rPr>
          <w:rFonts w:cs="Arial"/>
          <w:b/>
          <w:bCs/>
          <w:sz w:val="22"/>
          <w:szCs w:val="22"/>
        </w:rPr>
      </w:pPr>
    </w:p>
    <w:p w:rsidR="009C6973" w:rsidRPr="00E009E9" w:rsidRDefault="009C6973" w:rsidP="009C6973">
      <w:pPr>
        <w:jc w:val="center"/>
        <w:rPr>
          <w:rFonts w:cs="Arial"/>
          <w:b/>
          <w:bCs/>
          <w:sz w:val="22"/>
          <w:szCs w:val="22"/>
        </w:rPr>
      </w:pPr>
    </w:p>
    <w:p w:rsidR="003742B3" w:rsidRPr="00E009E9" w:rsidRDefault="003742B3" w:rsidP="009C6973">
      <w:pPr>
        <w:pStyle w:val="NormalWeb"/>
        <w:numPr>
          <w:ilvl w:val="0"/>
          <w:numId w:val="1"/>
        </w:numPr>
        <w:shd w:val="clear" w:color="auto" w:fill="FFFFFF"/>
        <w:spacing w:before="0" w:beforeAutospacing="0" w:after="0" w:afterAutospacing="0"/>
        <w:ind w:left="284" w:firstLine="0"/>
        <w:jc w:val="both"/>
        <w:rPr>
          <w:rFonts w:ascii="Arial" w:hAnsi="Arial" w:cs="Arial"/>
          <w:b/>
          <w:bCs/>
          <w:sz w:val="22"/>
          <w:szCs w:val="22"/>
        </w:rPr>
      </w:pPr>
      <w:r w:rsidRPr="00E009E9">
        <w:rPr>
          <w:rFonts w:ascii="Arial" w:hAnsi="Arial" w:cs="Arial"/>
          <w:b/>
          <w:bCs/>
          <w:sz w:val="22"/>
          <w:szCs w:val="22"/>
        </w:rPr>
        <w:t>Antecedentes procesales.</w:t>
      </w:r>
    </w:p>
    <w:p w:rsidR="003742B3" w:rsidRPr="00E009E9" w:rsidRDefault="003742B3" w:rsidP="009C6973">
      <w:pPr>
        <w:jc w:val="center"/>
        <w:rPr>
          <w:rFonts w:cs="Arial"/>
          <w:sz w:val="22"/>
          <w:szCs w:val="22"/>
        </w:rPr>
      </w:pPr>
    </w:p>
    <w:p w:rsidR="007C6167" w:rsidRPr="00E009E9" w:rsidRDefault="007C6167" w:rsidP="009C6973">
      <w:pPr>
        <w:autoSpaceDE w:val="0"/>
        <w:autoSpaceDN w:val="0"/>
        <w:adjustRightInd w:val="0"/>
        <w:jc w:val="both"/>
        <w:rPr>
          <w:rFonts w:cs="Arial"/>
          <w:sz w:val="22"/>
          <w:szCs w:val="22"/>
        </w:rPr>
      </w:pPr>
      <w:r w:rsidRPr="00E009E9">
        <w:rPr>
          <w:rFonts w:cs="Arial"/>
          <w:sz w:val="22"/>
          <w:szCs w:val="22"/>
        </w:rPr>
        <w:t xml:space="preserve">Que la Subdirección de Vigilancia en Salud Pública de la Secretaría Distrital de Salud de Bogotá, mediante Resolución </w:t>
      </w:r>
      <w:bookmarkStart w:id="1" w:name="_Hlk61891372"/>
      <w:r w:rsidRPr="00E009E9">
        <w:rPr>
          <w:rFonts w:cs="Arial"/>
          <w:sz w:val="22"/>
          <w:szCs w:val="22"/>
        </w:rPr>
        <w:t xml:space="preserve">No. 3862 del 11 de junio de 2024, impuso </w:t>
      </w:r>
      <w:r w:rsidRPr="00E009E9">
        <w:rPr>
          <w:rFonts w:eastAsia="Calibri" w:cs="Arial"/>
          <w:sz w:val="22"/>
          <w:szCs w:val="22"/>
          <w:lang w:eastAsia="es-CO" w:bidi="ar-SA"/>
        </w:rPr>
        <w:t xml:space="preserve">a la señora KATIA MARGARITA HOYOS SALEME, identificada con cédula de ciudadanía 52.056.741, </w:t>
      </w:r>
      <w:r w:rsidRPr="00E009E9">
        <w:rPr>
          <w:rFonts w:cs="Arial"/>
          <w:sz w:val="22"/>
          <w:szCs w:val="22"/>
        </w:rPr>
        <w:t>en calidad de propietario y/o responsable del establecimiento PARKING PLACE</w:t>
      </w:r>
      <w:r w:rsidRPr="00E009E9">
        <w:rPr>
          <w:rFonts w:eastAsia="Calibri" w:cs="Arial"/>
          <w:sz w:val="22"/>
          <w:szCs w:val="22"/>
          <w:lang w:eastAsia="es-CO" w:bidi="ar-SA"/>
        </w:rPr>
        <w:t xml:space="preserve"> ubicado para el momento de los hechos en la KR 4 12C 54, de la nomenclatura urbana de la ciudad de Bogotá, </w:t>
      </w:r>
      <w:r w:rsidRPr="00E009E9">
        <w:rPr>
          <w:rFonts w:cs="Arial"/>
          <w:bCs/>
          <w:sz w:val="22"/>
          <w:szCs w:val="22"/>
        </w:rPr>
        <w:t xml:space="preserve">sanción consistente en multa </w:t>
      </w:r>
      <w:r w:rsidRPr="00E009E9">
        <w:rPr>
          <w:rFonts w:cs="Arial"/>
          <w:sz w:val="22"/>
          <w:szCs w:val="22"/>
        </w:rPr>
        <w:t>de un (1) salario mínimo legal mensual vigente para el año 2024, equivalente a la suma de UN MILLÓN TRESCIENTOS MIL PESOS M/CTE ($1.300.000), por infringir las normas citadas en la referida providencia (</w:t>
      </w:r>
      <w:proofErr w:type="spellStart"/>
      <w:r w:rsidRPr="00E009E9">
        <w:rPr>
          <w:rFonts w:cs="Arial"/>
          <w:sz w:val="22"/>
          <w:szCs w:val="22"/>
        </w:rPr>
        <w:t>fl</w:t>
      </w:r>
      <w:proofErr w:type="spellEnd"/>
      <w:r w:rsidRPr="00E009E9">
        <w:rPr>
          <w:rFonts w:cs="Arial"/>
          <w:sz w:val="22"/>
          <w:szCs w:val="22"/>
        </w:rPr>
        <w:t xml:space="preserve"> 29 al 32).  </w:t>
      </w:r>
    </w:p>
    <w:p w:rsidR="007C6167" w:rsidRPr="00E009E9" w:rsidRDefault="007C6167" w:rsidP="009C6973">
      <w:pPr>
        <w:jc w:val="both"/>
        <w:rPr>
          <w:rFonts w:cs="Arial"/>
          <w:sz w:val="22"/>
          <w:szCs w:val="22"/>
        </w:rPr>
      </w:pPr>
    </w:p>
    <w:p w:rsidR="007C6167" w:rsidRPr="00E009E9" w:rsidRDefault="007C6167" w:rsidP="009C6973">
      <w:pPr>
        <w:jc w:val="both"/>
        <w:rPr>
          <w:rFonts w:cs="Arial"/>
          <w:sz w:val="22"/>
          <w:szCs w:val="22"/>
        </w:rPr>
      </w:pPr>
      <w:r w:rsidRPr="00E009E9">
        <w:rPr>
          <w:rFonts w:cs="Arial"/>
          <w:sz w:val="22"/>
          <w:szCs w:val="22"/>
        </w:rPr>
        <w:t>El citado acto administrativo fue notificado a la</w:t>
      </w:r>
      <w:r w:rsidR="000136BA" w:rsidRPr="00E009E9">
        <w:rPr>
          <w:rFonts w:cs="Arial"/>
          <w:sz w:val="22"/>
          <w:szCs w:val="22"/>
        </w:rPr>
        <w:t xml:space="preserve"> parte</w:t>
      </w:r>
      <w:r w:rsidRPr="00E009E9">
        <w:rPr>
          <w:rFonts w:cs="Arial"/>
          <w:sz w:val="22"/>
          <w:szCs w:val="22"/>
        </w:rPr>
        <w:t xml:space="preserve"> investigad</w:t>
      </w:r>
      <w:r w:rsidR="000136BA" w:rsidRPr="00E009E9">
        <w:rPr>
          <w:rFonts w:cs="Arial"/>
          <w:sz w:val="22"/>
          <w:szCs w:val="22"/>
        </w:rPr>
        <w:t>a</w:t>
      </w:r>
      <w:r w:rsidRPr="00E009E9">
        <w:rPr>
          <w:rFonts w:cs="Arial"/>
          <w:sz w:val="22"/>
          <w:szCs w:val="22"/>
        </w:rPr>
        <w:t xml:space="preserve"> de forma electrónica mediante oficio No. 2024-EE-80610, con su correspondiente soporte de recibido certificado el día 19 de junio 2024 (Folios 33 y </w:t>
      </w:r>
      <w:proofErr w:type="spellStart"/>
      <w:r w:rsidRPr="00E009E9">
        <w:rPr>
          <w:rFonts w:cs="Arial"/>
          <w:sz w:val="22"/>
          <w:szCs w:val="22"/>
        </w:rPr>
        <w:t>ss</w:t>
      </w:r>
      <w:proofErr w:type="spellEnd"/>
      <w:r w:rsidRPr="00E009E9">
        <w:rPr>
          <w:rFonts w:cs="Arial"/>
          <w:sz w:val="22"/>
          <w:szCs w:val="22"/>
        </w:rPr>
        <w:t xml:space="preserve">) del expediente materia de estudio.     </w:t>
      </w:r>
    </w:p>
    <w:p w:rsidR="007C6167" w:rsidRPr="00E009E9" w:rsidRDefault="007C6167" w:rsidP="009C6973">
      <w:pPr>
        <w:jc w:val="both"/>
        <w:rPr>
          <w:rFonts w:cs="Arial"/>
          <w:sz w:val="22"/>
          <w:szCs w:val="22"/>
        </w:rPr>
      </w:pPr>
    </w:p>
    <w:p w:rsidR="008B602D" w:rsidRPr="00E009E9" w:rsidRDefault="008B602D" w:rsidP="009C6973">
      <w:pPr>
        <w:jc w:val="both"/>
        <w:rPr>
          <w:rFonts w:cs="Arial"/>
          <w:sz w:val="22"/>
          <w:szCs w:val="22"/>
        </w:rPr>
      </w:pPr>
      <w:r w:rsidRPr="00E009E9">
        <w:rPr>
          <w:rFonts w:cs="Arial"/>
          <w:sz w:val="22"/>
          <w:szCs w:val="22"/>
        </w:rPr>
        <w:t xml:space="preserve">Que, mediante comunicación allegada vía email el día 9 de julio de 2024, obrante a folios 35 y ss. del libelo en estudio, la señora </w:t>
      </w:r>
      <w:r w:rsidRPr="00E009E9">
        <w:rPr>
          <w:rFonts w:eastAsia="Calibri" w:cs="Arial"/>
          <w:sz w:val="22"/>
          <w:szCs w:val="22"/>
          <w:lang w:eastAsia="es-CO" w:bidi="ar-SA"/>
        </w:rPr>
        <w:t>KATIA MARGARITA HOYOS SALEME</w:t>
      </w:r>
      <w:r w:rsidRPr="00E009E9">
        <w:rPr>
          <w:rFonts w:cs="Arial"/>
          <w:sz w:val="22"/>
          <w:szCs w:val="22"/>
        </w:rPr>
        <w:t xml:space="preserve">, en calidad de propietaria y/o responsable del establecimiento denominado PARKING PLACE, presentó recursos de reposición y en subsidio apelación en contra de la </w:t>
      </w:r>
      <w:r w:rsidRPr="00E009E9">
        <w:rPr>
          <w:rFonts w:cs="Arial"/>
          <w:bCs/>
          <w:sz w:val="22"/>
          <w:szCs w:val="22"/>
        </w:rPr>
        <w:t xml:space="preserve">Resolución No. </w:t>
      </w:r>
      <w:r w:rsidRPr="00E009E9">
        <w:rPr>
          <w:rFonts w:cs="Arial"/>
          <w:sz w:val="22"/>
          <w:szCs w:val="22"/>
        </w:rPr>
        <w:t xml:space="preserve">3862 del 11 de junio de 2024.    </w:t>
      </w:r>
    </w:p>
    <w:p w:rsidR="008B602D" w:rsidRPr="00E009E9" w:rsidRDefault="008B602D" w:rsidP="009C6973">
      <w:pPr>
        <w:jc w:val="both"/>
        <w:rPr>
          <w:rFonts w:cs="Arial"/>
          <w:sz w:val="22"/>
          <w:szCs w:val="22"/>
        </w:rPr>
      </w:pPr>
    </w:p>
    <w:bookmarkEnd w:id="1"/>
    <w:p w:rsidR="007C6167" w:rsidRPr="00E009E9" w:rsidRDefault="007C6167" w:rsidP="009C6973">
      <w:pPr>
        <w:autoSpaceDE w:val="0"/>
        <w:autoSpaceDN w:val="0"/>
        <w:adjustRightInd w:val="0"/>
        <w:jc w:val="both"/>
        <w:rPr>
          <w:rFonts w:cs="Arial"/>
          <w:sz w:val="22"/>
          <w:szCs w:val="22"/>
        </w:rPr>
      </w:pPr>
      <w:r w:rsidRPr="00E009E9">
        <w:rPr>
          <w:rFonts w:cs="Arial"/>
          <w:sz w:val="22"/>
          <w:szCs w:val="22"/>
        </w:rPr>
        <w:t xml:space="preserve">Que </w:t>
      </w:r>
      <w:r w:rsidR="000136BA" w:rsidRPr="00E009E9">
        <w:rPr>
          <w:rFonts w:cs="Arial"/>
          <w:sz w:val="22"/>
          <w:szCs w:val="22"/>
        </w:rPr>
        <w:t>mediante</w:t>
      </w:r>
      <w:r w:rsidRPr="00E009E9">
        <w:rPr>
          <w:rFonts w:cs="Arial"/>
          <w:sz w:val="22"/>
          <w:szCs w:val="22"/>
        </w:rPr>
        <w:t xml:space="preserve"> Resolución No. </w:t>
      </w:r>
      <w:r w:rsidR="000136BA" w:rsidRPr="00E009E9">
        <w:rPr>
          <w:rFonts w:cs="Arial"/>
          <w:sz w:val="22"/>
          <w:szCs w:val="22"/>
        </w:rPr>
        <w:t>6867</w:t>
      </w:r>
      <w:r w:rsidRPr="00E009E9">
        <w:rPr>
          <w:rFonts w:cs="Arial"/>
          <w:sz w:val="22"/>
          <w:szCs w:val="22"/>
        </w:rPr>
        <w:t xml:space="preserve"> del </w:t>
      </w:r>
      <w:r w:rsidR="000136BA" w:rsidRPr="00E009E9">
        <w:rPr>
          <w:rFonts w:cs="Arial"/>
          <w:sz w:val="22"/>
          <w:szCs w:val="22"/>
        </w:rPr>
        <w:t>28 de noviembre de</w:t>
      </w:r>
      <w:r w:rsidRPr="00E009E9">
        <w:rPr>
          <w:rFonts w:cs="Arial"/>
          <w:sz w:val="22"/>
          <w:szCs w:val="22"/>
        </w:rPr>
        <w:t xml:space="preserve"> 2024, la </w:t>
      </w:r>
      <w:r w:rsidR="000136BA" w:rsidRPr="00E009E9">
        <w:rPr>
          <w:rFonts w:cs="Arial"/>
          <w:sz w:val="22"/>
          <w:szCs w:val="22"/>
        </w:rPr>
        <w:t>Subdirección de Vigilancia en Salud Pública de la Secretarí</w:t>
      </w:r>
      <w:r w:rsidRPr="00E009E9">
        <w:rPr>
          <w:rFonts w:cs="Arial"/>
          <w:sz w:val="22"/>
          <w:szCs w:val="22"/>
        </w:rPr>
        <w:t xml:space="preserve">a Distrital de Salud de Bogotá, resolvió </w:t>
      </w:r>
      <w:r w:rsidRPr="00E009E9">
        <w:rPr>
          <w:rFonts w:eastAsia="Calibri" w:cs="Arial"/>
          <w:sz w:val="22"/>
          <w:szCs w:val="22"/>
          <w:lang w:bidi="ar-SA"/>
        </w:rPr>
        <w:t xml:space="preserve">rechazar </w:t>
      </w:r>
      <w:r w:rsidRPr="00E009E9">
        <w:rPr>
          <w:rFonts w:cs="Arial"/>
          <w:sz w:val="22"/>
          <w:szCs w:val="22"/>
        </w:rPr>
        <w:t>de plano</w:t>
      </w:r>
      <w:r w:rsidR="000136BA" w:rsidRPr="00E009E9">
        <w:rPr>
          <w:rFonts w:cs="Arial"/>
          <w:sz w:val="22"/>
          <w:szCs w:val="22"/>
        </w:rPr>
        <w:t xml:space="preserve"> el recurso de Reposición y en s</w:t>
      </w:r>
      <w:r w:rsidRPr="00E009E9">
        <w:rPr>
          <w:rFonts w:cs="Arial"/>
          <w:sz w:val="22"/>
          <w:szCs w:val="22"/>
        </w:rPr>
        <w:t xml:space="preserve">ubsidio apelación interpuesto por </w:t>
      </w:r>
      <w:r w:rsidR="000136BA" w:rsidRPr="00E009E9">
        <w:rPr>
          <w:rFonts w:cs="Arial"/>
          <w:sz w:val="22"/>
          <w:szCs w:val="22"/>
        </w:rPr>
        <w:t xml:space="preserve">la señora </w:t>
      </w:r>
      <w:r w:rsidR="000136BA" w:rsidRPr="00E009E9">
        <w:rPr>
          <w:rFonts w:eastAsia="Calibri" w:cs="Arial"/>
          <w:sz w:val="22"/>
          <w:szCs w:val="22"/>
          <w:lang w:eastAsia="es-CO" w:bidi="ar-SA"/>
        </w:rPr>
        <w:t>KATIA MARGARITA HOYOS SALEME</w:t>
      </w:r>
      <w:r w:rsidRPr="00E009E9">
        <w:rPr>
          <w:rFonts w:cs="Arial"/>
          <w:sz w:val="22"/>
          <w:szCs w:val="22"/>
        </w:rPr>
        <w:t xml:space="preserve">, en contra de la Resolución No. </w:t>
      </w:r>
      <w:r w:rsidR="000136BA" w:rsidRPr="00E009E9">
        <w:rPr>
          <w:rFonts w:cs="Arial"/>
          <w:sz w:val="22"/>
          <w:szCs w:val="22"/>
        </w:rPr>
        <w:t xml:space="preserve">3862 del 11 de junio de 2024 </w:t>
      </w:r>
      <w:r w:rsidRPr="00E009E9">
        <w:rPr>
          <w:rFonts w:cs="Arial"/>
          <w:sz w:val="22"/>
          <w:szCs w:val="22"/>
        </w:rPr>
        <w:t xml:space="preserve">por la extemporaneidad en su presentación, </w:t>
      </w:r>
      <w:r w:rsidRPr="00E009E9">
        <w:rPr>
          <w:rFonts w:eastAsia="Calibri" w:cs="Arial"/>
          <w:sz w:val="22"/>
          <w:szCs w:val="22"/>
          <w:lang w:bidi="ar-SA"/>
        </w:rPr>
        <w:t xml:space="preserve">(Fol. </w:t>
      </w:r>
      <w:r w:rsidR="000136BA" w:rsidRPr="00E009E9">
        <w:rPr>
          <w:rFonts w:eastAsia="Calibri" w:cs="Arial"/>
          <w:sz w:val="22"/>
          <w:szCs w:val="22"/>
          <w:lang w:bidi="ar-SA"/>
        </w:rPr>
        <w:t xml:space="preserve">37 y </w:t>
      </w:r>
      <w:proofErr w:type="spellStart"/>
      <w:r w:rsidR="000136BA" w:rsidRPr="00E009E9">
        <w:rPr>
          <w:rFonts w:eastAsia="Calibri" w:cs="Arial"/>
          <w:sz w:val="22"/>
          <w:szCs w:val="22"/>
          <w:lang w:bidi="ar-SA"/>
        </w:rPr>
        <w:t>ss</w:t>
      </w:r>
      <w:proofErr w:type="spellEnd"/>
      <w:r w:rsidRPr="00E009E9">
        <w:rPr>
          <w:rFonts w:eastAsia="Calibri" w:cs="Arial"/>
          <w:sz w:val="22"/>
          <w:szCs w:val="22"/>
          <w:lang w:bidi="ar-SA"/>
        </w:rPr>
        <w:t>).</w:t>
      </w:r>
      <w:r w:rsidR="000136BA" w:rsidRPr="00E009E9">
        <w:rPr>
          <w:rFonts w:eastAsia="Calibri" w:cs="Arial"/>
          <w:sz w:val="22"/>
          <w:szCs w:val="22"/>
          <w:lang w:bidi="ar-SA"/>
        </w:rPr>
        <w:t xml:space="preserve"> </w:t>
      </w:r>
      <w:r w:rsidR="00EE21B0" w:rsidRPr="00E009E9">
        <w:rPr>
          <w:rFonts w:eastAsia="Calibri" w:cs="Arial"/>
          <w:sz w:val="22"/>
          <w:szCs w:val="22"/>
          <w:lang w:bidi="ar-SA"/>
        </w:rPr>
        <w:t xml:space="preserve"> </w:t>
      </w:r>
    </w:p>
    <w:p w:rsidR="007C6167" w:rsidRPr="00E009E9" w:rsidRDefault="007C6167" w:rsidP="009C6973">
      <w:pPr>
        <w:jc w:val="both"/>
        <w:rPr>
          <w:rFonts w:cs="Arial"/>
          <w:sz w:val="22"/>
          <w:szCs w:val="22"/>
        </w:rPr>
      </w:pPr>
    </w:p>
    <w:p w:rsidR="007C6167" w:rsidRPr="00E009E9" w:rsidRDefault="005D7BA1" w:rsidP="009C6973">
      <w:pPr>
        <w:jc w:val="both"/>
        <w:rPr>
          <w:rFonts w:cs="Arial"/>
          <w:sz w:val="22"/>
          <w:szCs w:val="22"/>
        </w:rPr>
      </w:pPr>
      <w:r w:rsidRPr="00E009E9">
        <w:rPr>
          <w:rFonts w:cs="Arial"/>
          <w:sz w:val="22"/>
          <w:szCs w:val="22"/>
        </w:rPr>
        <w:lastRenderedPageBreak/>
        <w:t>Que, mediante comunicación con radicado 2025-ER-02750</w:t>
      </w:r>
      <w:r w:rsidR="00784189" w:rsidRPr="00E009E9">
        <w:rPr>
          <w:rFonts w:cs="Arial"/>
          <w:sz w:val="22"/>
          <w:szCs w:val="22"/>
        </w:rPr>
        <w:t xml:space="preserve"> de fecha 30 de enero de 2025</w:t>
      </w:r>
      <w:r w:rsidRPr="00E009E9">
        <w:rPr>
          <w:rFonts w:cs="Arial"/>
          <w:sz w:val="22"/>
          <w:szCs w:val="22"/>
        </w:rPr>
        <w:t xml:space="preserve">, obrante a folios 43 y ss. del libelo en estudio, </w:t>
      </w:r>
      <w:r w:rsidR="007C6167" w:rsidRPr="00E009E9">
        <w:rPr>
          <w:rFonts w:cs="Arial"/>
          <w:sz w:val="22"/>
          <w:szCs w:val="22"/>
        </w:rPr>
        <w:t xml:space="preserve">el hoy recurrente presentó </w:t>
      </w:r>
      <w:r w:rsidRPr="00E009E9">
        <w:rPr>
          <w:rFonts w:cs="Arial"/>
          <w:sz w:val="22"/>
          <w:szCs w:val="22"/>
        </w:rPr>
        <w:t>Recurso de Queja</w:t>
      </w:r>
      <w:r w:rsidR="007C6167" w:rsidRPr="00E009E9">
        <w:rPr>
          <w:rFonts w:cs="Arial"/>
          <w:sz w:val="22"/>
          <w:szCs w:val="22"/>
        </w:rPr>
        <w:t xml:space="preserve"> (</w:t>
      </w:r>
      <w:proofErr w:type="spellStart"/>
      <w:r w:rsidR="007C6167" w:rsidRPr="00E009E9">
        <w:rPr>
          <w:rFonts w:cs="Arial"/>
          <w:sz w:val="22"/>
          <w:szCs w:val="22"/>
        </w:rPr>
        <w:t>fls</w:t>
      </w:r>
      <w:proofErr w:type="spellEnd"/>
      <w:r w:rsidR="007C6167" w:rsidRPr="00E009E9">
        <w:rPr>
          <w:rFonts w:cs="Arial"/>
          <w:sz w:val="22"/>
          <w:szCs w:val="22"/>
        </w:rPr>
        <w:t xml:space="preserve"> </w:t>
      </w:r>
      <w:r w:rsidRPr="00E009E9">
        <w:rPr>
          <w:rFonts w:cs="Arial"/>
          <w:sz w:val="22"/>
          <w:szCs w:val="22"/>
        </w:rPr>
        <w:t xml:space="preserve">43 y </w:t>
      </w:r>
      <w:proofErr w:type="spellStart"/>
      <w:r w:rsidRPr="00E009E9">
        <w:rPr>
          <w:rFonts w:cs="Arial"/>
          <w:sz w:val="22"/>
          <w:szCs w:val="22"/>
        </w:rPr>
        <w:t>ss</w:t>
      </w:r>
      <w:proofErr w:type="spellEnd"/>
      <w:r w:rsidR="007C6167" w:rsidRPr="00E009E9">
        <w:rPr>
          <w:rFonts w:cs="Arial"/>
          <w:sz w:val="22"/>
          <w:szCs w:val="22"/>
        </w:rPr>
        <w:t>).</w:t>
      </w:r>
    </w:p>
    <w:p w:rsidR="009C6973" w:rsidRPr="00E009E9" w:rsidRDefault="009C6973" w:rsidP="009C6973">
      <w:pPr>
        <w:jc w:val="both"/>
        <w:rPr>
          <w:rFonts w:cs="Arial"/>
          <w:sz w:val="22"/>
          <w:szCs w:val="22"/>
        </w:rPr>
      </w:pPr>
    </w:p>
    <w:p w:rsidR="003742B3" w:rsidRPr="00E009E9" w:rsidRDefault="003742B3" w:rsidP="009C6973">
      <w:pPr>
        <w:pStyle w:val="Prrafodelista"/>
        <w:numPr>
          <w:ilvl w:val="0"/>
          <w:numId w:val="1"/>
        </w:numPr>
        <w:ind w:firstLine="0"/>
        <w:jc w:val="both"/>
        <w:rPr>
          <w:rFonts w:cs="Arial"/>
          <w:b/>
          <w:sz w:val="22"/>
          <w:szCs w:val="22"/>
        </w:rPr>
      </w:pPr>
      <w:r w:rsidRPr="00E009E9">
        <w:rPr>
          <w:rFonts w:cs="Arial"/>
          <w:b/>
          <w:sz w:val="22"/>
          <w:szCs w:val="22"/>
        </w:rPr>
        <w:t>Competencia para resolver el recurso</w:t>
      </w:r>
    </w:p>
    <w:p w:rsidR="003742B3" w:rsidRPr="00E009E9" w:rsidRDefault="003742B3" w:rsidP="009C6973">
      <w:pPr>
        <w:jc w:val="both"/>
        <w:rPr>
          <w:rFonts w:cs="Arial"/>
          <w:sz w:val="22"/>
          <w:szCs w:val="22"/>
        </w:rPr>
      </w:pPr>
    </w:p>
    <w:p w:rsidR="003742B3" w:rsidRPr="00E009E9" w:rsidRDefault="003742B3" w:rsidP="009C6973">
      <w:pPr>
        <w:jc w:val="both"/>
        <w:rPr>
          <w:rFonts w:cs="Arial"/>
          <w:sz w:val="22"/>
          <w:szCs w:val="22"/>
        </w:rPr>
      </w:pPr>
      <w:r w:rsidRPr="00E009E9">
        <w:rPr>
          <w:rFonts w:cs="Arial"/>
          <w:sz w:val="22"/>
          <w:szCs w:val="22"/>
        </w:rPr>
        <w:t xml:space="preserve">Conforme lo dispuesto en los artículos 74 y 76 del CPACA, la competencia para resolver el Recurso de Queja recae sobre el despacho del Secretario Distrital de Salud, por ser el inmediato superior administrativo. </w:t>
      </w:r>
    </w:p>
    <w:p w:rsidR="003742B3" w:rsidRPr="00E009E9" w:rsidRDefault="003742B3" w:rsidP="009C6973">
      <w:pPr>
        <w:jc w:val="both"/>
        <w:rPr>
          <w:rFonts w:cs="Arial"/>
          <w:sz w:val="22"/>
          <w:szCs w:val="22"/>
        </w:rPr>
      </w:pPr>
    </w:p>
    <w:p w:rsidR="003742B3" w:rsidRPr="00E009E9" w:rsidRDefault="003742B3" w:rsidP="009C6973">
      <w:pPr>
        <w:jc w:val="both"/>
        <w:rPr>
          <w:rFonts w:cs="Arial"/>
          <w:sz w:val="22"/>
          <w:szCs w:val="22"/>
        </w:rPr>
      </w:pPr>
      <w:r w:rsidRPr="00E009E9">
        <w:rPr>
          <w:rFonts w:cs="Arial"/>
          <w:sz w:val="22"/>
          <w:szCs w:val="22"/>
        </w:rPr>
        <w:t>Con fundamento en lo expuesto y en lo establecido en el numeral 7 del artículo 3 del Decreto 507 del 06 de noviembre de 2013, este Despacho procede a resolver de fondo el recurso interpuesto.</w:t>
      </w:r>
    </w:p>
    <w:p w:rsidR="003742B3" w:rsidRPr="00E009E9" w:rsidRDefault="003742B3" w:rsidP="009C6973">
      <w:pPr>
        <w:jc w:val="both"/>
        <w:rPr>
          <w:rFonts w:cs="Arial"/>
          <w:sz w:val="22"/>
          <w:szCs w:val="22"/>
        </w:rPr>
      </w:pPr>
    </w:p>
    <w:p w:rsidR="003742B3" w:rsidRPr="00E009E9" w:rsidRDefault="003742B3" w:rsidP="009C6973">
      <w:pPr>
        <w:pStyle w:val="Prrafodelista"/>
        <w:numPr>
          <w:ilvl w:val="0"/>
          <w:numId w:val="1"/>
        </w:numPr>
        <w:ind w:firstLine="0"/>
        <w:jc w:val="both"/>
        <w:rPr>
          <w:rFonts w:cs="Arial"/>
          <w:b/>
          <w:bCs/>
          <w:sz w:val="22"/>
          <w:szCs w:val="22"/>
        </w:rPr>
      </w:pPr>
      <w:r w:rsidRPr="00E009E9">
        <w:rPr>
          <w:rFonts w:cs="Arial"/>
          <w:b/>
          <w:sz w:val="22"/>
          <w:szCs w:val="22"/>
        </w:rPr>
        <w:t>Argumentos</w:t>
      </w:r>
      <w:r w:rsidRPr="00E009E9">
        <w:rPr>
          <w:rFonts w:cs="Arial"/>
          <w:b/>
          <w:bCs/>
          <w:sz w:val="22"/>
          <w:szCs w:val="22"/>
        </w:rPr>
        <w:t xml:space="preserve"> del recurso</w:t>
      </w:r>
    </w:p>
    <w:p w:rsidR="003742B3" w:rsidRPr="00E009E9" w:rsidRDefault="003742B3" w:rsidP="009C6973">
      <w:pPr>
        <w:ind w:left="1080"/>
        <w:jc w:val="both"/>
        <w:rPr>
          <w:rFonts w:cs="Arial"/>
          <w:sz w:val="22"/>
          <w:szCs w:val="22"/>
        </w:rPr>
      </w:pPr>
    </w:p>
    <w:p w:rsidR="003742B3" w:rsidRPr="00E009E9" w:rsidRDefault="003742B3" w:rsidP="009C6973">
      <w:pPr>
        <w:shd w:val="clear" w:color="auto" w:fill="FFFFFF"/>
        <w:jc w:val="both"/>
        <w:rPr>
          <w:rFonts w:cs="Arial"/>
          <w:sz w:val="22"/>
          <w:szCs w:val="22"/>
        </w:rPr>
      </w:pPr>
      <w:r w:rsidRPr="00E009E9">
        <w:rPr>
          <w:rFonts w:cs="Arial"/>
          <w:sz w:val="22"/>
          <w:szCs w:val="22"/>
        </w:rPr>
        <w:t xml:space="preserve">A efectos de resolver el presente recurso, se presentarán los argumentos esbozados por </w:t>
      </w:r>
      <w:r w:rsidR="00784189" w:rsidRPr="00E009E9">
        <w:rPr>
          <w:rFonts w:eastAsia="Calibri" w:cs="Arial"/>
          <w:sz w:val="22"/>
          <w:szCs w:val="22"/>
          <w:lang w:eastAsia="es-CO" w:bidi="ar-SA"/>
        </w:rPr>
        <w:t xml:space="preserve">señora KATIA MARGARITA HOYOS SALEME, identificada con cédula de ciudadanía 52.056.741, </w:t>
      </w:r>
      <w:r w:rsidR="00784189" w:rsidRPr="00E009E9">
        <w:rPr>
          <w:rFonts w:cs="Arial"/>
          <w:sz w:val="22"/>
          <w:szCs w:val="22"/>
        </w:rPr>
        <w:t>en calidad de propietario y/o responsable del establecimiento PARKING PLACE</w:t>
      </w:r>
      <w:r w:rsidRPr="00E009E9">
        <w:rPr>
          <w:rFonts w:cs="Arial"/>
          <w:sz w:val="22"/>
          <w:szCs w:val="22"/>
        </w:rPr>
        <w:t>, mediante memorial</w:t>
      </w:r>
      <w:r w:rsidR="00427A97" w:rsidRPr="00E009E9">
        <w:rPr>
          <w:rFonts w:cs="Arial"/>
          <w:sz w:val="22"/>
          <w:szCs w:val="22"/>
        </w:rPr>
        <w:t xml:space="preserve"> con radicado 2025-ER-02750 de fecha 30 de enero de 2025,</w:t>
      </w:r>
      <w:r w:rsidRPr="00E009E9">
        <w:rPr>
          <w:rFonts w:cs="Arial"/>
          <w:sz w:val="22"/>
          <w:szCs w:val="22"/>
        </w:rPr>
        <w:t xml:space="preserve"> en el que planteó sus argumentos de defensa, concluyéndolos así:  </w:t>
      </w:r>
      <w:r w:rsidR="00784189" w:rsidRPr="00E009E9">
        <w:rPr>
          <w:rFonts w:cs="Arial"/>
          <w:sz w:val="22"/>
          <w:szCs w:val="22"/>
        </w:rPr>
        <w:t xml:space="preserve"> </w:t>
      </w:r>
      <w:r w:rsidRPr="00E009E9">
        <w:rPr>
          <w:rFonts w:cs="Arial"/>
          <w:sz w:val="22"/>
          <w:szCs w:val="22"/>
        </w:rPr>
        <w:t xml:space="preserve">  </w:t>
      </w:r>
    </w:p>
    <w:p w:rsidR="003742B3" w:rsidRPr="00E009E9" w:rsidRDefault="003742B3" w:rsidP="009C6973">
      <w:pPr>
        <w:autoSpaceDE w:val="0"/>
        <w:autoSpaceDN w:val="0"/>
        <w:adjustRightInd w:val="0"/>
        <w:jc w:val="both"/>
        <w:rPr>
          <w:rFonts w:cs="Arial"/>
          <w:i/>
          <w:iCs/>
          <w:sz w:val="22"/>
          <w:szCs w:val="22"/>
        </w:rPr>
      </w:pPr>
    </w:p>
    <w:p w:rsidR="003742B3" w:rsidRPr="00E009E9" w:rsidRDefault="003742B3" w:rsidP="009C6973">
      <w:pPr>
        <w:autoSpaceDE w:val="0"/>
        <w:autoSpaceDN w:val="0"/>
        <w:adjustRightInd w:val="0"/>
        <w:ind w:left="284"/>
        <w:rPr>
          <w:rFonts w:eastAsia="Calibri" w:cs="Arial"/>
          <w:i/>
          <w:sz w:val="20"/>
          <w:szCs w:val="20"/>
          <w:lang w:eastAsia="es-CO" w:bidi="ar-SA"/>
        </w:rPr>
      </w:pPr>
      <w:r w:rsidRPr="00E009E9">
        <w:rPr>
          <w:rFonts w:cs="Arial"/>
          <w:i/>
          <w:iCs/>
          <w:sz w:val="20"/>
          <w:szCs w:val="20"/>
        </w:rPr>
        <w:t xml:space="preserve">(…) </w:t>
      </w:r>
    </w:p>
    <w:p w:rsidR="0027670B" w:rsidRPr="00E009E9" w:rsidRDefault="0027670B" w:rsidP="009C6973">
      <w:pPr>
        <w:autoSpaceDE w:val="0"/>
        <w:autoSpaceDN w:val="0"/>
        <w:adjustRightInd w:val="0"/>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La funcionaria Administrativa baso su decisión en una serie de análisis parcializados de las pruebas aportadas al proceso. Llama la atención como en sus considerandos, dedica tres renglones a los descargos presentados ante su Despacho, omitiendo totalmente el Acta Numero 5801E726239 del 27 de abril del 2022 y distorsionando los hechos que fueron narrados en los descargos, en los que se explica el origen de las infracciones sanitarias, y al mismo tiempo se prueba como se solucionaron, obteniendo concepto favorable por parte de Servicios de Salud del Centro de Oriente E.S.E. Al respecto, La Corte Constitucional, ha reiterado en numerosas ocasiones que:</w:t>
      </w:r>
    </w:p>
    <w:p w:rsidR="005C17D4" w:rsidRPr="00E009E9" w:rsidRDefault="005C17D4" w:rsidP="009C6973">
      <w:pPr>
        <w:autoSpaceDE w:val="0"/>
        <w:autoSpaceDN w:val="0"/>
        <w:adjustRightInd w:val="0"/>
        <w:ind w:left="284"/>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 xml:space="preserve">"(...) La Corte ha identificado, así, dos dimensiones del defecto fáctico: una </w:t>
      </w:r>
      <w:r w:rsidR="005C17D4" w:rsidRPr="00E009E9">
        <w:rPr>
          <w:rFonts w:eastAsia="Calibri" w:cs="Arial"/>
          <w:i/>
          <w:sz w:val="20"/>
          <w:szCs w:val="20"/>
          <w:lang w:eastAsia="es-CO" w:bidi="ar-SA"/>
        </w:rPr>
        <w:t>dimensión</w:t>
      </w:r>
      <w:r w:rsidRPr="00E009E9">
        <w:rPr>
          <w:rFonts w:eastAsia="Calibri" w:cs="Arial"/>
          <w:i/>
          <w:sz w:val="20"/>
          <w:szCs w:val="20"/>
          <w:lang w:eastAsia="es-CO" w:bidi="ar-SA"/>
        </w:rPr>
        <w:t xml:space="preserve"> negativa y una positiva. La primera tiene lugar cuan</w:t>
      </w:r>
      <w:r w:rsidR="005C17D4" w:rsidRPr="00E009E9">
        <w:rPr>
          <w:rFonts w:eastAsia="Calibri" w:cs="Arial"/>
          <w:i/>
          <w:sz w:val="20"/>
          <w:szCs w:val="20"/>
          <w:lang w:eastAsia="es-CO" w:bidi="ar-SA"/>
        </w:rPr>
        <w:t>do el juez niega o valora la prueba</w:t>
      </w:r>
      <w:r w:rsidRPr="00E009E9">
        <w:rPr>
          <w:rFonts w:eastAsia="Calibri" w:cs="Arial"/>
          <w:i/>
          <w:sz w:val="20"/>
          <w:szCs w:val="20"/>
          <w:lang w:eastAsia="es-CO" w:bidi="ar-SA"/>
        </w:rPr>
        <w:t xml:space="preserve"> de manera arbitraria, irracional y caprichosa, o simplemente omite su </w:t>
      </w:r>
      <w:r w:rsidR="005C17D4" w:rsidRPr="00E009E9">
        <w:rPr>
          <w:rFonts w:eastAsia="Calibri" w:cs="Arial"/>
          <w:i/>
          <w:sz w:val="20"/>
          <w:szCs w:val="20"/>
          <w:lang w:eastAsia="es-CO" w:bidi="ar-SA"/>
        </w:rPr>
        <w:t xml:space="preserve">valoración, y sin </w:t>
      </w:r>
      <w:r w:rsidRPr="00E009E9">
        <w:rPr>
          <w:rFonts w:eastAsia="Calibri" w:cs="Arial"/>
          <w:i/>
          <w:sz w:val="20"/>
          <w:szCs w:val="20"/>
          <w:lang w:eastAsia="es-CO" w:bidi="ar-SA"/>
        </w:rPr>
        <w:t>razón valedera da por no probado el hecho o la circunstancia que de la misma em</w:t>
      </w:r>
      <w:r w:rsidR="005C17D4" w:rsidRPr="00E009E9">
        <w:rPr>
          <w:rFonts w:eastAsia="Calibri" w:cs="Arial"/>
          <w:i/>
          <w:sz w:val="20"/>
          <w:szCs w:val="20"/>
          <w:lang w:eastAsia="es-CO" w:bidi="ar-SA"/>
        </w:rPr>
        <w:t>erge</w:t>
      </w:r>
      <w:r w:rsidRPr="00E009E9">
        <w:rPr>
          <w:rFonts w:eastAsia="Calibri" w:cs="Arial"/>
          <w:i/>
          <w:sz w:val="20"/>
          <w:szCs w:val="20"/>
          <w:lang w:eastAsia="es-CO" w:bidi="ar-SA"/>
        </w:rPr>
        <w:t xml:space="preserve"> clara y objetivamente. Esta dimensión comprende las omisiones en la </w:t>
      </w:r>
      <w:r w:rsidR="005C17D4" w:rsidRPr="00E009E9">
        <w:rPr>
          <w:rFonts w:eastAsia="Calibri" w:cs="Arial"/>
          <w:i/>
          <w:sz w:val="20"/>
          <w:szCs w:val="20"/>
          <w:lang w:eastAsia="es-CO" w:bidi="ar-SA"/>
        </w:rPr>
        <w:t>valoración</w:t>
      </w:r>
      <w:r w:rsidRPr="00E009E9">
        <w:rPr>
          <w:rFonts w:eastAsia="Calibri" w:cs="Arial"/>
          <w:i/>
          <w:sz w:val="20"/>
          <w:szCs w:val="20"/>
          <w:lang w:eastAsia="es-CO" w:bidi="ar-SA"/>
        </w:rPr>
        <w:t xml:space="preserve"> </w:t>
      </w:r>
      <w:r w:rsidR="005C17D4" w:rsidRPr="00E009E9">
        <w:rPr>
          <w:rFonts w:eastAsia="Calibri" w:cs="Arial"/>
          <w:i/>
          <w:sz w:val="20"/>
          <w:szCs w:val="20"/>
          <w:lang w:eastAsia="es-CO" w:bidi="ar-SA"/>
        </w:rPr>
        <w:t xml:space="preserve">de </w:t>
      </w:r>
      <w:r w:rsidRPr="00E009E9">
        <w:rPr>
          <w:rFonts w:eastAsia="Calibri" w:cs="Arial"/>
          <w:i/>
          <w:sz w:val="20"/>
          <w:szCs w:val="20"/>
          <w:lang w:eastAsia="es-CO" w:bidi="ar-SA"/>
        </w:rPr>
        <w:t xml:space="preserve">pruebas determinantes para identificar la veracidad de los hechos analizados por </w:t>
      </w:r>
      <w:r w:rsidR="005C17D4" w:rsidRPr="00E009E9">
        <w:rPr>
          <w:rFonts w:eastAsia="Calibri" w:cs="Arial"/>
          <w:i/>
          <w:sz w:val="20"/>
          <w:szCs w:val="20"/>
          <w:lang w:eastAsia="es-CO" w:bidi="ar-SA"/>
        </w:rPr>
        <w:t>el juez. Y</w:t>
      </w:r>
      <w:r w:rsidRPr="00E009E9">
        <w:rPr>
          <w:rFonts w:eastAsia="Calibri" w:cs="Arial"/>
          <w:i/>
          <w:sz w:val="20"/>
          <w:szCs w:val="20"/>
          <w:lang w:eastAsia="es-CO" w:bidi="ar-SA"/>
        </w:rPr>
        <w:t xml:space="preserve"> la dimensión positiva, se presenta generalmente cuando el juez aprecia pru</w:t>
      </w:r>
      <w:r w:rsidR="005C17D4" w:rsidRPr="00E009E9">
        <w:rPr>
          <w:rFonts w:eastAsia="Calibri" w:cs="Arial"/>
          <w:i/>
          <w:sz w:val="20"/>
          <w:szCs w:val="20"/>
          <w:lang w:eastAsia="es-CO" w:bidi="ar-SA"/>
        </w:rPr>
        <w:t>ebas</w:t>
      </w:r>
      <w:r w:rsidRPr="00E009E9">
        <w:rPr>
          <w:rFonts w:eastAsia="Calibri" w:cs="Arial"/>
          <w:i/>
          <w:sz w:val="20"/>
          <w:szCs w:val="20"/>
          <w:lang w:eastAsia="es-CO" w:bidi="ar-SA"/>
        </w:rPr>
        <w:t xml:space="preserve"> esenciales y determinantes para la definición del caso, que no ha debido admitir ni va</w:t>
      </w:r>
      <w:r w:rsidR="005C17D4" w:rsidRPr="00E009E9">
        <w:rPr>
          <w:rFonts w:eastAsia="Calibri" w:cs="Arial"/>
          <w:i/>
          <w:sz w:val="20"/>
          <w:szCs w:val="20"/>
          <w:lang w:eastAsia="es-CO" w:bidi="ar-SA"/>
        </w:rPr>
        <w:t>lorar</w:t>
      </w:r>
      <w:r w:rsidRPr="00E009E9">
        <w:rPr>
          <w:rFonts w:eastAsia="Calibri" w:cs="Arial"/>
          <w:i/>
          <w:sz w:val="20"/>
          <w:szCs w:val="20"/>
          <w:lang w:eastAsia="es-CO" w:bidi="ar-SA"/>
        </w:rPr>
        <w:t xml:space="preserve"> porque, por ejemplo, fueron indebidamente recaudadas (artículo 29 C. P.) o cuan</w:t>
      </w:r>
      <w:r w:rsidR="005C17D4" w:rsidRPr="00E009E9">
        <w:rPr>
          <w:rFonts w:eastAsia="Calibri" w:cs="Arial"/>
          <w:i/>
          <w:sz w:val="20"/>
          <w:szCs w:val="20"/>
          <w:lang w:eastAsia="es-CO" w:bidi="ar-SA"/>
        </w:rPr>
        <w:t>do da</w:t>
      </w:r>
      <w:r w:rsidRPr="00E009E9">
        <w:rPr>
          <w:rFonts w:eastAsia="Calibri" w:cs="Arial"/>
          <w:i/>
          <w:sz w:val="20"/>
          <w:szCs w:val="20"/>
          <w:lang w:eastAsia="es-CO" w:bidi="ar-SA"/>
        </w:rPr>
        <w:t xml:space="preserve"> por establecidas circunstancias sin que exista material probatorio que respald</w:t>
      </w:r>
      <w:r w:rsidR="005C17D4" w:rsidRPr="00E009E9">
        <w:rPr>
          <w:rFonts w:eastAsia="Calibri" w:cs="Arial"/>
          <w:i/>
          <w:sz w:val="20"/>
          <w:szCs w:val="20"/>
          <w:lang w:eastAsia="es-CO" w:bidi="ar-SA"/>
        </w:rPr>
        <w:t>e su</w:t>
      </w:r>
      <w:r w:rsidRPr="00E009E9">
        <w:rPr>
          <w:rFonts w:eastAsia="Calibri" w:cs="Arial"/>
          <w:i/>
          <w:sz w:val="20"/>
          <w:szCs w:val="20"/>
          <w:lang w:eastAsia="es-CO" w:bidi="ar-SA"/>
        </w:rPr>
        <w:t xml:space="preserve"> decisión.</w:t>
      </w:r>
      <w:r w:rsidR="005C17D4" w:rsidRPr="00E009E9">
        <w:rPr>
          <w:rFonts w:eastAsia="Calibri" w:cs="Arial"/>
          <w:i/>
          <w:sz w:val="20"/>
          <w:szCs w:val="20"/>
          <w:lang w:eastAsia="es-CO" w:bidi="ar-SA"/>
        </w:rPr>
        <w:t xml:space="preserve"> </w:t>
      </w:r>
    </w:p>
    <w:p w:rsidR="005C17D4" w:rsidRPr="00E009E9" w:rsidRDefault="005C17D4" w:rsidP="009C6973">
      <w:pPr>
        <w:autoSpaceDE w:val="0"/>
        <w:autoSpaceDN w:val="0"/>
        <w:adjustRightInd w:val="0"/>
        <w:ind w:left="284"/>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 xml:space="preserve">Estas dimensiones configuran, a su vez, distintas modalidades de defecto fáctico, </w:t>
      </w:r>
      <w:r w:rsidR="00C45251" w:rsidRPr="00E009E9">
        <w:rPr>
          <w:rFonts w:eastAsia="Calibri" w:cs="Arial"/>
          <w:i/>
          <w:sz w:val="20"/>
          <w:szCs w:val="20"/>
          <w:lang w:eastAsia="es-CO" w:bidi="ar-SA"/>
        </w:rPr>
        <w:t xml:space="preserve">que </w:t>
      </w:r>
      <w:r w:rsidRPr="00E009E9">
        <w:rPr>
          <w:rFonts w:eastAsia="Calibri" w:cs="Arial"/>
          <w:i/>
          <w:sz w:val="20"/>
          <w:szCs w:val="20"/>
          <w:lang w:eastAsia="es-CO" w:bidi="ar-SA"/>
        </w:rPr>
        <w:t>han sido categorizadas así: (i) defecto fáctico por la omisión en el decreto y la práct</w:t>
      </w:r>
      <w:r w:rsidR="00C45251" w:rsidRPr="00E009E9">
        <w:rPr>
          <w:rFonts w:eastAsia="Calibri" w:cs="Arial"/>
          <w:i/>
          <w:sz w:val="20"/>
          <w:szCs w:val="20"/>
          <w:lang w:eastAsia="es-CO" w:bidi="ar-SA"/>
        </w:rPr>
        <w:t>ica</w:t>
      </w:r>
      <w:r w:rsidRPr="00E009E9">
        <w:rPr>
          <w:rFonts w:eastAsia="Calibri" w:cs="Arial"/>
          <w:i/>
          <w:sz w:val="20"/>
          <w:szCs w:val="20"/>
          <w:lang w:eastAsia="es-CO" w:bidi="ar-SA"/>
        </w:rPr>
        <w:t xml:space="preserve"> de pruebas; (ii) defecto fáctico por la no valoración del acervo probatorio y (iii) defe</w:t>
      </w:r>
      <w:r w:rsidR="00C45251" w:rsidRPr="00E009E9">
        <w:rPr>
          <w:rFonts w:eastAsia="Calibri" w:cs="Arial"/>
          <w:i/>
          <w:sz w:val="20"/>
          <w:szCs w:val="20"/>
          <w:lang w:eastAsia="es-CO" w:bidi="ar-SA"/>
        </w:rPr>
        <w:t>cto</w:t>
      </w:r>
      <w:r w:rsidRPr="00E009E9">
        <w:rPr>
          <w:rFonts w:eastAsia="Calibri" w:cs="Arial"/>
          <w:i/>
          <w:sz w:val="20"/>
          <w:szCs w:val="20"/>
          <w:lang w:eastAsia="es-CO" w:bidi="ar-SA"/>
        </w:rPr>
        <w:t xml:space="preserve"> fáctico por desconocimiento de las reglas de la sana crítica." [...] (C. Constituciona</w:t>
      </w:r>
      <w:r w:rsidR="00C45251" w:rsidRPr="00E009E9">
        <w:rPr>
          <w:rFonts w:eastAsia="Calibri" w:cs="Arial"/>
          <w:i/>
          <w:sz w:val="20"/>
          <w:szCs w:val="20"/>
          <w:lang w:eastAsia="es-CO" w:bidi="ar-SA"/>
        </w:rPr>
        <w:t xml:space="preserve">l T- </w:t>
      </w:r>
      <w:r w:rsidRPr="00E009E9">
        <w:rPr>
          <w:rFonts w:eastAsia="Calibri" w:cs="Arial"/>
          <w:i/>
          <w:sz w:val="20"/>
          <w:szCs w:val="20"/>
          <w:lang w:eastAsia="es-CO" w:bidi="ar-SA"/>
        </w:rPr>
        <w:t xml:space="preserve">781 20 </w:t>
      </w:r>
      <w:proofErr w:type="gramStart"/>
      <w:r w:rsidRPr="00E009E9">
        <w:rPr>
          <w:rFonts w:eastAsia="Calibri" w:cs="Arial"/>
          <w:i/>
          <w:sz w:val="20"/>
          <w:szCs w:val="20"/>
          <w:lang w:eastAsia="es-CO" w:bidi="ar-SA"/>
        </w:rPr>
        <w:t>Oct.</w:t>
      </w:r>
      <w:proofErr w:type="gramEnd"/>
      <w:r w:rsidRPr="00E009E9">
        <w:rPr>
          <w:rFonts w:eastAsia="Calibri" w:cs="Arial"/>
          <w:i/>
          <w:sz w:val="20"/>
          <w:szCs w:val="20"/>
          <w:lang w:eastAsia="es-CO" w:bidi="ar-SA"/>
        </w:rPr>
        <w:t xml:space="preserve"> 2011, rad. 3106156).</w:t>
      </w:r>
      <w:r w:rsidR="00C45251" w:rsidRPr="00E009E9">
        <w:rPr>
          <w:rFonts w:eastAsia="Calibri" w:cs="Arial"/>
          <w:i/>
          <w:sz w:val="20"/>
          <w:szCs w:val="20"/>
          <w:lang w:eastAsia="es-CO" w:bidi="ar-SA"/>
        </w:rPr>
        <w:t xml:space="preserve"> </w:t>
      </w:r>
    </w:p>
    <w:p w:rsidR="00C45251" w:rsidRPr="00E009E9" w:rsidRDefault="00C45251" w:rsidP="009C6973">
      <w:pPr>
        <w:autoSpaceDE w:val="0"/>
        <w:autoSpaceDN w:val="0"/>
        <w:adjustRightInd w:val="0"/>
        <w:ind w:left="284"/>
        <w:jc w:val="both"/>
        <w:rPr>
          <w:rFonts w:eastAsia="Calibri" w:cs="Arial"/>
          <w:i/>
          <w:sz w:val="20"/>
          <w:szCs w:val="20"/>
          <w:lang w:eastAsia="es-CO" w:bidi="ar-SA"/>
        </w:rPr>
      </w:pPr>
    </w:p>
    <w:p w:rsidR="005F70CA"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En el caso sub-examine, se hace obvio una modalidad de defecto factico por la</w:t>
      </w:r>
      <w:r w:rsidR="005F70CA" w:rsidRPr="00E009E9">
        <w:rPr>
          <w:rFonts w:eastAsia="Calibri" w:cs="Arial"/>
          <w:i/>
          <w:sz w:val="20"/>
          <w:szCs w:val="20"/>
          <w:lang w:eastAsia="es-CO" w:bidi="ar-SA"/>
        </w:rPr>
        <w:t xml:space="preserve"> no</w:t>
      </w:r>
      <w:r w:rsidRPr="00E009E9">
        <w:rPr>
          <w:rFonts w:eastAsia="Calibri" w:cs="Arial"/>
          <w:i/>
          <w:sz w:val="20"/>
          <w:szCs w:val="20"/>
          <w:lang w:eastAsia="es-CO" w:bidi="ar-SA"/>
        </w:rPr>
        <w:t xml:space="preserve"> valoración del acervo probatorio y desconocimiento de las reglas de la sana critica.</w:t>
      </w:r>
    </w:p>
    <w:p w:rsidR="005F70CA" w:rsidRPr="00E009E9" w:rsidRDefault="005F70CA" w:rsidP="009C6973">
      <w:pPr>
        <w:autoSpaceDE w:val="0"/>
        <w:autoSpaceDN w:val="0"/>
        <w:adjustRightInd w:val="0"/>
        <w:ind w:left="284"/>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Y continua la H. Corte Constitucional " De acuerdo con las características de cas de estudio, se hará énfasis en la hipótesis denominada defecto fáctico por val defectuosa del material probatorio, situación que se advierte cuando el func</w:t>
      </w:r>
      <w:r w:rsidR="005F70CA" w:rsidRPr="00E009E9">
        <w:rPr>
          <w:rFonts w:eastAsia="Calibri" w:cs="Arial"/>
          <w:i/>
          <w:sz w:val="20"/>
          <w:szCs w:val="20"/>
          <w:lang w:eastAsia="es-CO" w:bidi="ar-SA"/>
        </w:rPr>
        <w:t>ionario</w:t>
      </w:r>
      <w:r w:rsidRPr="00E009E9">
        <w:rPr>
          <w:rFonts w:eastAsia="Calibri" w:cs="Arial"/>
          <w:i/>
          <w:sz w:val="20"/>
          <w:szCs w:val="20"/>
          <w:lang w:eastAsia="es-CO" w:bidi="ar-SA"/>
        </w:rPr>
        <w:t xml:space="preserve"> judicial, en contra de la evidencia probatoria, decide separarse por completo hechos debidamente probados y resolver a su arbitrio el asunto jurídico debatido; o defectuosa del material probatorio, situación que se advierte cuando el funcionario judicial, en contra de la evidencia probatoria, decide separarse por completo de los hechos debidamente probados y resolver a su arbitrio el asunto jurídico debatido; o cuando a pesar de existir pruebas ilícitas no se abstiene de excluirlas y con base en ellas fundamenta la decisión respectiva". [...] (C. Constitucional T-781 20 </w:t>
      </w:r>
      <w:proofErr w:type="gramStart"/>
      <w:r w:rsidRPr="00E009E9">
        <w:rPr>
          <w:rFonts w:eastAsia="Calibri" w:cs="Arial"/>
          <w:i/>
          <w:sz w:val="20"/>
          <w:szCs w:val="20"/>
          <w:lang w:eastAsia="es-CO" w:bidi="ar-SA"/>
        </w:rPr>
        <w:t>Oct.</w:t>
      </w:r>
      <w:proofErr w:type="gramEnd"/>
      <w:r w:rsidRPr="00E009E9">
        <w:rPr>
          <w:rFonts w:eastAsia="Calibri" w:cs="Arial"/>
          <w:i/>
          <w:sz w:val="20"/>
          <w:szCs w:val="20"/>
          <w:lang w:eastAsia="es-CO" w:bidi="ar-SA"/>
        </w:rPr>
        <w:t xml:space="preserve"> 2011, rad.</w:t>
      </w:r>
      <w:r w:rsidR="005F70CA" w:rsidRPr="00E009E9">
        <w:rPr>
          <w:rFonts w:eastAsia="Calibri" w:cs="Arial"/>
          <w:i/>
          <w:sz w:val="20"/>
          <w:szCs w:val="20"/>
          <w:lang w:eastAsia="es-CO" w:bidi="ar-SA"/>
        </w:rPr>
        <w:t xml:space="preserve"> </w:t>
      </w:r>
      <w:r w:rsidRPr="00E009E9">
        <w:rPr>
          <w:rFonts w:eastAsia="Calibri" w:cs="Arial"/>
          <w:i/>
          <w:sz w:val="20"/>
          <w:szCs w:val="20"/>
          <w:lang w:eastAsia="es-CO" w:bidi="ar-SA"/>
        </w:rPr>
        <w:t>3106156).</w:t>
      </w:r>
    </w:p>
    <w:p w:rsidR="005F70CA" w:rsidRPr="00E009E9" w:rsidRDefault="005F70CA" w:rsidP="009C6973">
      <w:pPr>
        <w:autoSpaceDE w:val="0"/>
        <w:autoSpaceDN w:val="0"/>
        <w:adjustRightInd w:val="0"/>
        <w:ind w:left="284"/>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SUBSANACION VOLUNTARIA</w:t>
      </w:r>
    </w:p>
    <w:p w:rsidR="005F70CA" w:rsidRPr="00E009E9" w:rsidRDefault="005F70CA" w:rsidP="009C6973">
      <w:pPr>
        <w:autoSpaceDE w:val="0"/>
        <w:autoSpaceDN w:val="0"/>
        <w:adjustRightInd w:val="0"/>
        <w:ind w:left="284"/>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center"/>
        <w:rPr>
          <w:rFonts w:eastAsia="Calibri" w:cs="Arial"/>
          <w:i/>
          <w:sz w:val="20"/>
          <w:szCs w:val="20"/>
          <w:lang w:eastAsia="es-CO" w:bidi="ar-SA"/>
        </w:rPr>
      </w:pPr>
      <w:r w:rsidRPr="00E009E9">
        <w:rPr>
          <w:rFonts w:eastAsia="Calibri" w:cs="Arial"/>
          <w:i/>
          <w:sz w:val="20"/>
          <w:szCs w:val="20"/>
          <w:lang w:eastAsia="es-CO" w:bidi="ar-SA"/>
        </w:rPr>
        <w:t>PETICIONES</w:t>
      </w:r>
    </w:p>
    <w:p w:rsidR="005F70CA" w:rsidRPr="00E009E9" w:rsidRDefault="005F70CA" w:rsidP="009C6973">
      <w:pPr>
        <w:autoSpaceDE w:val="0"/>
        <w:autoSpaceDN w:val="0"/>
        <w:adjustRightInd w:val="0"/>
        <w:ind w:left="284"/>
        <w:jc w:val="both"/>
        <w:rPr>
          <w:rFonts w:eastAsia="Calibri" w:cs="Arial"/>
          <w:i/>
          <w:sz w:val="20"/>
          <w:szCs w:val="20"/>
          <w:lang w:eastAsia="es-CO" w:bidi="ar-SA"/>
        </w:rPr>
      </w:pPr>
    </w:p>
    <w:p w:rsidR="0027670B"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De acuerdo a los hechos y consideraciones expuestas en el caso sub-lite, solicito:</w:t>
      </w:r>
    </w:p>
    <w:p w:rsidR="005F70CA" w:rsidRPr="00E009E9" w:rsidRDefault="005F70CA" w:rsidP="009C6973">
      <w:pPr>
        <w:autoSpaceDE w:val="0"/>
        <w:autoSpaceDN w:val="0"/>
        <w:adjustRightInd w:val="0"/>
        <w:ind w:left="284"/>
        <w:jc w:val="both"/>
        <w:rPr>
          <w:rFonts w:eastAsia="Calibri" w:cs="Arial"/>
          <w:i/>
          <w:sz w:val="20"/>
          <w:szCs w:val="20"/>
          <w:lang w:eastAsia="es-CO" w:bidi="ar-SA"/>
        </w:rPr>
      </w:pPr>
    </w:p>
    <w:p w:rsidR="003742B3" w:rsidRPr="00E009E9" w:rsidRDefault="0027670B" w:rsidP="009C6973">
      <w:pPr>
        <w:autoSpaceDE w:val="0"/>
        <w:autoSpaceDN w:val="0"/>
        <w:adjustRightInd w:val="0"/>
        <w:ind w:left="284"/>
        <w:jc w:val="both"/>
        <w:rPr>
          <w:rFonts w:eastAsia="Calibri" w:cs="Arial"/>
          <w:i/>
          <w:sz w:val="20"/>
          <w:szCs w:val="20"/>
          <w:lang w:eastAsia="es-CO" w:bidi="ar-SA"/>
        </w:rPr>
      </w:pPr>
      <w:r w:rsidRPr="00E009E9">
        <w:rPr>
          <w:rFonts w:eastAsia="Calibri" w:cs="Arial"/>
          <w:i/>
          <w:sz w:val="20"/>
          <w:szCs w:val="20"/>
          <w:lang w:eastAsia="es-CO" w:bidi="ar-SA"/>
        </w:rPr>
        <w:t>1. Ordenar el archivo definitivo</w:t>
      </w:r>
      <w:r w:rsidR="005F70CA" w:rsidRPr="00E009E9">
        <w:rPr>
          <w:rFonts w:eastAsia="Calibri" w:cs="Arial"/>
          <w:i/>
          <w:sz w:val="20"/>
          <w:szCs w:val="20"/>
          <w:lang w:eastAsia="es-CO" w:bidi="ar-SA"/>
        </w:rPr>
        <w:t xml:space="preserve"> del Expediente No. 7981 – 2021”</w:t>
      </w:r>
      <w:r w:rsidR="003742B3" w:rsidRPr="00E009E9">
        <w:rPr>
          <w:rFonts w:eastAsia="Calibri" w:cs="Arial"/>
          <w:i/>
          <w:sz w:val="20"/>
          <w:szCs w:val="20"/>
          <w:lang w:eastAsia="es-CO" w:bidi="ar-SA"/>
        </w:rPr>
        <w:t xml:space="preserve"> </w:t>
      </w:r>
      <w:r w:rsidR="009F235B" w:rsidRPr="00E009E9">
        <w:rPr>
          <w:rFonts w:eastAsia="Calibri" w:cs="Arial"/>
          <w:iCs/>
          <w:sz w:val="20"/>
          <w:szCs w:val="20"/>
          <w:lang w:eastAsia="es-CO" w:bidi="ar-SA"/>
        </w:rPr>
        <w:t>(…)</w:t>
      </w:r>
      <w:r w:rsidR="003742B3" w:rsidRPr="00E009E9">
        <w:rPr>
          <w:rFonts w:eastAsia="Calibri" w:cs="Arial"/>
          <w:iCs/>
          <w:sz w:val="20"/>
          <w:szCs w:val="20"/>
          <w:lang w:eastAsia="es-CO" w:bidi="ar-SA"/>
        </w:rPr>
        <w:t>.</w:t>
      </w:r>
    </w:p>
    <w:p w:rsidR="003742B3" w:rsidRPr="00E009E9" w:rsidRDefault="003742B3" w:rsidP="009C6973">
      <w:pPr>
        <w:autoSpaceDE w:val="0"/>
        <w:autoSpaceDN w:val="0"/>
        <w:adjustRightInd w:val="0"/>
        <w:ind w:left="708"/>
        <w:jc w:val="both"/>
        <w:rPr>
          <w:rFonts w:cs="Arial"/>
          <w:i/>
          <w:iCs/>
          <w:sz w:val="20"/>
          <w:szCs w:val="20"/>
        </w:rPr>
      </w:pPr>
    </w:p>
    <w:p w:rsidR="003742B3" w:rsidRPr="00E009E9" w:rsidRDefault="003742B3" w:rsidP="009C6973">
      <w:pPr>
        <w:autoSpaceDE w:val="0"/>
        <w:autoSpaceDN w:val="0"/>
        <w:adjustRightInd w:val="0"/>
        <w:jc w:val="both"/>
        <w:rPr>
          <w:rFonts w:cs="Arial"/>
          <w:i/>
          <w:iCs/>
          <w:sz w:val="22"/>
          <w:szCs w:val="22"/>
        </w:rPr>
      </w:pPr>
    </w:p>
    <w:p w:rsidR="003742B3" w:rsidRPr="00E009E9" w:rsidRDefault="003742B3" w:rsidP="009C6973">
      <w:pPr>
        <w:jc w:val="center"/>
        <w:rPr>
          <w:rFonts w:cs="Arial"/>
          <w:b/>
          <w:bCs/>
          <w:sz w:val="22"/>
          <w:szCs w:val="22"/>
        </w:rPr>
      </w:pPr>
      <w:r w:rsidRPr="00E009E9">
        <w:rPr>
          <w:rFonts w:cs="Arial"/>
          <w:b/>
          <w:bCs/>
          <w:sz w:val="22"/>
          <w:szCs w:val="22"/>
        </w:rPr>
        <w:t>CONSIDERACIONES DEL DESPACHO</w:t>
      </w:r>
    </w:p>
    <w:p w:rsidR="003742B3" w:rsidRPr="00E009E9" w:rsidRDefault="003742B3" w:rsidP="009C6973">
      <w:pPr>
        <w:pStyle w:val="Prrafodelista"/>
        <w:ind w:left="0"/>
        <w:jc w:val="both"/>
        <w:rPr>
          <w:rFonts w:cs="Arial"/>
          <w:b/>
          <w:bCs/>
          <w:color w:val="FF0000"/>
          <w:sz w:val="22"/>
          <w:szCs w:val="22"/>
        </w:rPr>
      </w:pPr>
    </w:p>
    <w:p w:rsidR="00F20819" w:rsidRPr="00E009E9" w:rsidRDefault="00F20819" w:rsidP="009C6973">
      <w:pPr>
        <w:jc w:val="both"/>
        <w:rPr>
          <w:rFonts w:cs="Arial"/>
          <w:sz w:val="22"/>
          <w:szCs w:val="22"/>
        </w:rPr>
      </w:pPr>
      <w:r w:rsidRPr="00E009E9">
        <w:rPr>
          <w:rFonts w:cs="Arial"/>
          <w:sz w:val="22"/>
          <w:szCs w:val="22"/>
        </w:rPr>
        <w:t xml:space="preserve">Las entidades administrativas responsables de la aplicación del régimen en salud deben respetar los postulados del debido proceso, consagrado como un derecho fundamental en el artículo 29 de la Carta para toda actuación judicial y administrativa. Significa lo anterior, que cuando el Estado en ejercicio del poder punitivo que le es propio y como desarrollo de su poder de policía, establece e impone sanciones a los administrados por el desconocimiento de las regulaciones que ha expedido para reglar determinadas materias, y como una forma de conservar el orden y adecuado funcionamiento del aparato estatal, ha de ser cuidadoso de no desconocer los principios que rigen el debido proceso, entre ellos, los principios de legalidad, tipicidad y contradicción. </w:t>
      </w:r>
    </w:p>
    <w:p w:rsidR="00E13CB5" w:rsidRPr="00E009E9" w:rsidRDefault="00E13CB5" w:rsidP="009C6973">
      <w:pPr>
        <w:jc w:val="both"/>
        <w:rPr>
          <w:rFonts w:cs="Arial"/>
          <w:sz w:val="22"/>
          <w:szCs w:val="22"/>
        </w:rPr>
      </w:pPr>
    </w:p>
    <w:p w:rsidR="00D5307C" w:rsidRPr="00E009E9" w:rsidRDefault="00D5307C" w:rsidP="009C6973">
      <w:pPr>
        <w:jc w:val="both"/>
        <w:rPr>
          <w:rFonts w:cs="Arial"/>
          <w:sz w:val="22"/>
          <w:szCs w:val="22"/>
        </w:rPr>
      </w:pPr>
      <w:r w:rsidRPr="00E009E9">
        <w:rPr>
          <w:rFonts w:cs="Arial"/>
          <w:sz w:val="22"/>
          <w:szCs w:val="22"/>
        </w:rPr>
        <w:t xml:space="preserve">Frente a la cobertura del debido proceso, la Corte Constitucional se ha pronunciado en varias oportunidades, manifestando que el objeto fundamental de ese principio es que los actos proferidos por la Administración se ajusten al ordenamiento legal previamente establecido para ellos, asegurando una organización administrativa y el cumplimiento estricto de los fines estatales; es así como desde la sentencia T 442 de 1992, se señaló: </w:t>
      </w:r>
    </w:p>
    <w:p w:rsidR="00D5307C" w:rsidRPr="00E009E9" w:rsidRDefault="00D5307C" w:rsidP="009C6973">
      <w:pPr>
        <w:jc w:val="both"/>
        <w:rPr>
          <w:rFonts w:cs="Arial"/>
          <w:sz w:val="22"/>
          <w:szCs w:val="22"/>
        </w:rPr>
      </w:pPr>
    </w:p>
    <w:p w:rsidR="00D5307C" w:rsidRPr="00E009E9" w:rsidRDefault="00D5307C" w:rsidP="009C6973">
      <w:pPr>
        <w:ind w:left="142"/>
        <w:jc w:val="both"/>
        <w:rPr>
          <w:rFonts w:cs="Arial"/>
          <w:sz w:val="22"/>
          <w:szCs w:val="22"/>
        </w:rPr>
      </w:pPr>
      <w:r w:rsidRPr="00E009E9">
        <w:rPr>
          <w:rFonts w:cs="Arial"/>
          <w:i/>
          <w:sz w:val="22"/>
          <w:szCs w:val="22"/>
        </w:rPr>
        <w:t xml:space="preserve">“El debido proceso administrativo tiene por objeto garantizar a través de la evaluación de las autoridades administrativas competentes y de los tribunales Contenciosos, si los actos proferidos por la Administración, se ajustan al ordenamiento jurídico legal previamente establecido para ellos, con el </w:t>
      </w:r>
      <w:r w:rsidRPr="00E009E9">
        <w:rPr>
          <w:rFonts w:cs="Arial"/>
          <w:i/>
          <w:sz w:val="22"/>
          <w:szCs w:val="22"/>
        </w:rPr>
        <w:lastRenderedPageBreak/>
        <w:t xml:space="preserve">fin de tutelar la regularidad jurídica y afianzar la credibilidad de las instituciones del Estado, ante la propia organización y los asociados y asegurar los derechos de los gobernados.  </w:t>
      </w:r>
    </w:p>
    <w:p w:rsidR="00D5307C" w:rsidRPr="00E009E9" w:rsidRDefault="00D5307C" w:rsidP="009C6973">
      <w:pPr>
        <w:ind w:left="142"/>
        <w:jc w:val="both"/>
        <w:rPr>
          <w:rFonts w:cs="Arial"/>
          <w:i/>
          <w:sz w:val="22"/>
          <w:szCs w:val="22"/>
        </w:rPr>
      </w:pPr>
    </w:p>
    <w:p w:rsidR="00D5307C" w:rsidRPr="00E009E9" w:rsidRDefault="00D5307C" w:rsidP="009C6973">
      <w:pPr>
        <w:ind w:left="142"/>
        <w:jc w:val="both"/>
        <w:rPr>
          <w:rFonts w:cs="Arial"/>
          <w:i/>
          <w:sz w:val="22"/>
          <w:szCs w:val="22"/>
        </w:rPr>
      </w:pPr>
      <w:r w:rsidRPr="00E009E9">
        <w:rPr>
          <w:rFonts w:cs="Arial"/>
          <w:i/>
          <w:sz w:val="22"/>
          <w:szCs w:val="22"/>
        </w:rPr>
        <w:t>Se observa que el debido proceso se mueve dentro del contexto de garantizar la correcta producción de los actos administrativos, y por ello  extiende su cobertura a todo el ejercicio que debe desarrollar la administración pública, en la realización de sus objetivos y fines estatales, es decir, cobija a todas sus manifestaciones  en  cuanto a la formación y ejecución de los actos, a las peticiones que realicen los particulares, a los procesos que por motivo y con ocasión de sus funciones cada entidad administrativa debe desarrollar y desde luego, garantiza la defensa ciudadana al señalarle los medios de impugnación previstos respecto de las providencias administrativas, cuando crea el particular, que a través de ellas se hayan afectado sus intereses.</w:t>
      </w:r>
    </w:p>
    <w:p w:rsidR="00D5307C" w:rsidRPr="00E009E9" w:rsidRDefault="00D5307C" w:rsidP="009C6973">
      <w:pPr>
        <w:ind w:left="142"/>
        <w:jc w:val="both"/>
        <w:rPr>
          <w:rFonts w:cs="Arial"/>
          <w:i/>
          <w:sz w:val="22"/>
          <w:szCs w:val="22"/>
        </w:rPr>
      </w:pPr>
    </w:p>
    <w:p w:rsidR="00D5307C" w:rsidRPr="00E009E9" w:rsidRDefault="00D5307C" w:rsidP="009C6973">
      <w:pPr>
        <w:ind w:left="142"/>
        <w:jc w:val="both"/>
        <w:rPr>
          <w:rFonts w:cs="Arial"/>
          <w:i/>
          <w:sz w:val="22"/>
          <w:szCs w:val="22"/>
        </w:rPr>
      </w:pPr>
      <w:r w:rsidRPr="00E009E9">
        <w:rPr>
          <w:rFonts w:cs="Arial"/>
          <w:i/>
          <w:sz w:val="22"/>
          <w:szCs w:val="22"/>
        </w:rPr>
        <w:t xml:space="preserve"> El debido proceso tiene reglas de legitimación, representación, notificaciones, términos para pruebas, competencias, recursos e instancias garantías establecidas en beneficio del administrado, etapas que deben cumplirse dentro del procedimiento administrativo señalado.  Se concluye que estos actos deben formarse mediante procedimientos previstos en la ley, que la observancia de la forma es la regla general, no sólo como garantía para evitar la arbitrariedad, sino para el logro de una organización administrativa racional y ordenada en todo su ejercicio, el cumplimiento estricto para asegurar la vigencia de los fines estatales, y para constituir pruebas de los actos respectivos, que permitan examinarlos respecto de su formación, esencia, eficacia y validez de los mismos”.</w:t>
      </w:r>
    </w:p>
    <w:p w:rsidR="00D5307C" w:rsidRPr="00E009E9" w:rsidRDefault="00D5307C" w:rsidP="009C6973">
      <w:pPr>
        <w:jc w:val="both"/>
        <w:rPr>
          <w:rFonts w:cs="Arial"/>
          <w:sz w:val="22"/>
          <w:szCs w:val="22"/>
        </w:rPr>
      </w:pPr>
    </w:p>
    <w:p w:rsidR="00D5307C" w:rsidRPr="00E009E9" w:rsidRDefault="00D5307C" w:rsidP="009C6973">
      <w:pPr>
        <w:jc w:val="both"/>
        <w:rPr>
          <w:rFonts w:cs="Arial"/>
          <w:sz w:val="22"/>
          <w:szCs w:val="22"/>
        </w:rPr>
      </w:pPr>
      <w:r w:rsidRPr="00E009E9">
        <w:rPr>
          <w:rFonts w:cs="Arial"/>
          <w:sz w:val="22"/>
          <w:szCs w:val="22"/>
        </w:rPr>
        <w:t>En este aspecto, la cabal realización del debido proceso implica la previa existencia de un régimen normativo que contemple todos los extremos de las potenciales actuaciones y procedimientos; esto es, un estatuto rector que establezca y regule los principios, las hipótesis jurídicas y sus consecuencias; los actos y etapas, los medios probatorios, los recursos e instancias correspondientes, y por supuesto, la autoridad competente para conocer y decidir sobre los pedimentos y excepciones que se puedan concretar al tenor de las hipótesis jurídicas allí contempladas. El debido proceso debe comprender todos los aspectos, independientemente de que su integración normativa se realice en una sola ley o merced a la conjunción de varias leyes.</w:t>
      </w:r>
    </w:p>
    <w:p w:rsidR="00D5307C" w:rsidRPr="00E009E9" w:rsidRDefault="00D5307C" w:rsidP="009C6973">
      <w:pPr>
        <w:jc w:val="both"/>
        <w:rPr>
          <w:rFonts w:cs="Arial"/>
          <w:sz w:val="22"/>
          <w:szCs w:val="22"/>
        </w:rPr>
      </w:pPr>
    </w:p>
    <w:p w:rsidR="00D5307C" w:rsidRPr="00E009E9" w:rsidRDefault="00D5307C" w:rsidP="009C6973">
      <w:pPr>
        <w:jc w:val="both"/>
        <w:rPr>
          <w:rFonts w:cs="Arial"/>
          <w:sz w:val="22"/>
          <w:szCs w:val="22"/>
        </w:rPr>
      </w:pPr>
      <w:r w:rsidRPr="00E009E9">
        <w:rPr>
          <w:rFonts w:cs="Arial"/>
          <w:sz w:val="22"/>
          <w:szCs w:val="22"/>
        </w:rPr>
        <w:t>Ahora bien, la notificación un acto reglado se constituye en una garantía tanto para el administrado como para la entidad pública. Para el administrado, porque es a través de este medio que puede conocer el contenido del acto y de poder controvertirlo en caso de que la decisión plasmada en el mismo no le favorezca en su propio interés; y en lo que respecta a la entidad pública, porque de la correcta notificación depende la eficacia y también la firmeza del acto expedido.</w:t>
      </w:r>
    </w:p>
    <w:p w:rsidR="00D5307C" w:rsidRPr="00E009E9" w:rsidRDefault="00D5307C" w:rsidP="009C6973">
      <w:pPr>
        <w:jc w:val="both"/>
        <w:rPr>
          <w:rFonts w:cs="Arial"/>
          <w:sz w:val="22"/>
          <w:szCs w:val="22"/>
        </w:rPr>
      </w:pPr>
    </w:p>
    <w:p w:rsidR="00D5307C" w:rsidRPr="00E009E9" w:rsidRDefault="00D5307C" w:rsidP="009C6973">
      <w:pPr>
        <w:jc w:val="both"/>
        <w:rPr>
          <w:rFonts w:cs="Arial"/>
          <w:sz w:val="22"/>
          <w:szCs w:val="22"/>
        </w:rPr>
      </w:pPr>
      <w:r w:rsidRPr="00E009E9">
        <w:rPr>
          <w:rFonts w:cs="Arial"/>
          <w:sz w:val="22"/>
          <w:szCs w:val="22"/>
        </w:rPr>
        <w:t>La notificación electrónica se entiende surtida, en la fecha y hora en que es recibido el mensaje electrónico, fecha y hora que deberá certificarla la administración. Art 56 CPACA</w:t>
      </w:r>
      <w:r w:rsidR="001A5244" w:rsidRPr="00E009E9">
        <w:rPr>
          <w:rFonts w:cs="Arial"/>
          <w:sz w:val="22"/>
          <w:szCs w:val="22"/>
        </w:rPr>
        <w:t>.</w:t>
      </w:r>
    </w:p>
    <w:p w:rsidR="001A5244" w:rsidRPr="00E009E9" w:rsidRDefault="001A5244" w:rsidP="009C6973">
      <w:pPr>
        <w:jc w:val="both"/>
        <w:rPr>
          <w:rFonts w:cs="Arial"/>
          <w:sz w:val="22"/>
          <w:szCs w:val="22"/>
        </w:rPr>
      </w:pPr>
    </w:p>
    <w:p w:rsidR="00D5307C" w:rsidRPr="00E009E9" w:rsidRDefault="00D5307C" w:rsidP="009C6973">
      <w:pPr>
        <w:jc w:val="both"/>
        <w:rPr>
          <w:rFonts w:cs="Arial"/>
        </w:rPr>
      </w:pPr>
      <w:r w:rsidRPr="00E009E9">
        <w:rPr>
          <w:rFonts w:cs="Arial"/>
          <w:sz w:val="22"/>
          <w:szCs w:val="22"/>
        </w:rPr>
        <w:t xml:space="preserve">En ese sentido, la interposición de los recursos es un acto procesal que obedece al cumplimiento de determinadas reglas a efectos de su concesión por parte de la Autoridad correspondiente entre los </w:t>
      </w:r>
      <w:r w:rsidRPr="00E009E9">
        <w:rPr>
          <w:rFonts w:cs="Arial"/>
          <w:sz w:val="22"/>
          <w:szCs w:val="22"/>
        </w:rPr>
        <w:lastRenderedPageBreak/>
        <w:t xml:space="preserve">cuales se puede destacar la oportunidad (interponerse dentro del plazo legal) y la forma (expresión de los motivos de inconformidad, petición de pruebas, datos de notificación etc.), so pena de rechazo de acuerdo al artículo 78 de la Ley 1437 de 2011 (C.P.A.C.A.). Reglas estas que en el caso en comentó no se cumplieron, toda vez que el sancionado interpuso recurso de reposición y apelación de manera extemporánea, tal y como lo enuncio el a-quo en la Resolución 6867 de 28 de noviembre de 2024, en donde decidió sobre la procedencia de los recursos interpuestos, cuando afirmó que la oportunidad procesal que lo acompañaba para interponer los mismos era hasta el </w:t>
      </w:r>
      <w:r w:rsidRPr="00E009E9">
        <w:rPr>
          <w:rFonts w:cs="Arial"/>
          <w:b/>
          <w:sz w:val="22"/>
          <w:szCs w:val="22"/>
        </w:rPr>
        <w:t>4 de julio de 2024.</w:t>
      </w:r>
      <w:r w:rsidRPr="00E009E9">
        <w:rPr>
          <w:rFonts w:cs="Arial"/>
        </w:rPr>
        <w:t xml:space="preserve"> </w:t>
      </w:r>
    </w:p>
    <w:p w:rsidR="001A5244" w:rsidRPr="00E009E9" w:rsidRDefault="001A5244" w:rsidP="009C6973">
      <w:pPr>
        <w:jc w:val="both"/>
        <w:rPr>
          <w:rFonts w:cs="Arial"/>
        </w:rPr>
      </w:pPr>
    </w:p>
    <w:p w:rsidR="001A5244" w:rsidRPr="00E009E9" w:rsidRDefault="001A5244" w:rsidP="009C6973">
      <w:pPr>
        <w:jc w:val="both"/>
        <w:rPr>
          <w:rFonts w:cs="Arial"/>
          <w:sz w:val="22"/>
          <w:szCs w:val="22"/>
        </w:rPr>
      </w:pPr>
      <w:r w:rsidRPr="00E009E9">
        <w:rPr>
          <w:rFonts w:cs="Arial"/>
          <w:sz w:val="22"/>
          <w:szCs w:val="22"/>
        </w:rPr>
        <w:t xml:space="preserve">De igual forma, se verifica en el expediente que la notificación de la Resolución por la cual se resuelve la investigación administrativa, se realizó mediante comunicación electrónica con radicado 2024-EE-80610 de fecha 17 de junio de 2024 y recibida por la investigada el 19 de junio de la misma anualidad (Folio 34) y solo fue, </w:t>
      </w:r>
      <w:r w:rsidRPr="00E009E9">
        <w:rPr>
          <w:rFonts w:cs="Arial"/>
          <w:sz w:val="22"/>
          <w:szCs w:val="22"/>
          <w:u w:val="single"/>
        </w:rPr>
        <w:t>hasta el 9 de julio de 2024 que el sancionado hizo ejercicio de sus derechos de defensa y contradicción</w:t>
      </w:r>
      <w:r w:rsidRPr="00E009E9">
        <w:rPr>
          <w:rFonts w:cs="Arial"/>
          <w:sz w:val="22"/>
          <w:szCs w:val="22"/>
        </w:rPr>
        <w:t xml:space="preserve"> mediante comunicación allegada vía email (</w:t>
      </w:r>
      <w:proofErr w:type="spellStart"/>
      <w:r w:rsidRPr="00E009E9">
        <w:rPr>
          <w:rFonts w:cs="Arial"/>
          <w:sz w:val="22"/>
          <w:szCs w:val="22"/>
        </w:rPr>
        <w:t>Fls</w:t>
      </w:r>
      <w:proofErr w:type="spellEnd"/>
      <w:r w:rsidRPr="00E009E9">
        <w:rPr>
          <w:rFonts w:cs="Arial"/>
          <w:sz w:val="22"/>
          <w:szCs w:val="22"/>
        </w:rPr>
        <w:t xml:space="preserve"> 35 y 36), lo que claramente deja ver la extemporaneidad de la interposición.</w:t>
      </w:r>
    </w:p>
    <w:p w:rsidR="001A5244" w:rsidRPr="00E009E9" w:rsidRDefault="001A5244" w:rsidP="009C6973">
      <w:pPr>
        <w:jc w:val="both"/>
        <w:rPr>
          <w:rFonts w:cs="Arial"/>
          <w:sz w:val="22"/>
          <w:szCs w:val="22"/>
        </w:rPr>
      </w:pPr>
    </w:p>
    <w:p w:rsidR="001A5244" w:rsidRPr="00E009E9" w:rsidRDefault="001A5244" w:rsidP="009C6973">
      <w:pPr>
        <w:jc w:val="both"/>
        <w:rPr>
          <w:rFonts w:cs="Arial"/>
          <w:sz w:val="22"/>
          <w:szCs w:val="22"/>
          <w:u w:val="single"/>
        </w:rPr>
      </w:pPr>
      <w:r w:rsidRPr="00E009E9">
        <w:rPr>
          <w:rFonts w:cs="Arial"/>
          <w:sz w:val="22"/>
          <w:szCs w:val="22"/>
          <w:u w:val="single"/>
        </w:rPr>
        <w:t xml:space="preserve">Ahora bien, es importante recordar que, según el numeral 3 del artículo 74 de la Ley 1437 de 2011, el recurso de queja únicamente tiene como función que el superior jerárquico de quien rechazó el recurso de apelación determine si el rechazo fue o no conforme a derecho. </w:t>
      </w:r>
    </w:p>
    <w:p w:rsidR="001A5244" w:rsidRPr="00E009E9" w:rsidRDefault="001A5244" w:rsidP="009C6973">
      <w:pPr>
        <w:jc w:val="both"/>
        <w:rPr>
          <w:rFonts w:cs="Arial"/>
          <w:sz w:val="22"/>
          <w:szCs w:val="22"/>
          <w:u w:val="single"/>
        </w:rPr>
      </w:pPr>
    </w:p>
    <w:p w:rsidR="001A5244" w:rsidRPr="00E009E9" w:rsidRDefault="001A5244" w:rsidP="009C6973">
      <w:pPr>
        <w:jc w:val="both"/>
        <w:rPr>
          <w:rFonts w:cs="Arial"/>
          <w:sz w:val="22"/>
          <w:szCs w:val="22"/>
        </w:rPr>
      </w:pPr>
      <w:r w:rsidRPr="00E009E9">
        <w:rPr>
          <w:rFonts w:cs="Arial"/>
          <w:sz w:val="22"/>
          <w:szCs w:val="22"/>
        </w:rPr>
        <w:t xml:space="preserve">El recurso de queja se encuentra instituido como una figura jurídica tendiente a corregir los errores en que puede incurrir el a quo cuando i) </w:t>
      </w:r>
      <w:r w:rsidRPr="00E009E9">
        <w:rPr>
          <w:rFonts w:cs="Arial"/>
          <w:sz w:val="22"/>
          <w:szCs w:val="22"/>
          <w:u w:val="single"/>
        </w:rPr>
        <w:t>niega la concesión de un recurso de apelación</w:t>
      </w:r>
      <w:r w:rsidRPr="00E009E9">
        <w:rPr>
          <w:rFonts w:cs="Arial"/>
          <w:sz w:val="22"/>
          <w:szCs w:val="22"/>
        </w:rPr>
        <w:t xml:space="preserve">; ii) concede la apelación en un efecto diferente al dispuesto por la ley o iii) cuando no concede los recursos extraordinarios de revisión y unificación de jurisprudencia, de ahí que una de sus </w:t>
      </w:r>
      <w:r w:rsidRPr="00E009E9">
        <w:rPr>
          <w:rFonts w:cs="Arial"/>
          <w:sz w:val="22"/>
          <w:szCs w:val="22"/>
          <w:u w:val="single"/>
        </w:rPr>
        <w:t xml:space="preserve">finalidades sea determinar si estuvo bien o mal denegado el recurso de apelación. </w:t>
      </w:r>
      <w:r w:rsidRPr="00E009E9">
        <w:rPr>
          <w:rFonts w:cs="Arial"/>
          <w:sz w:val="22"/>
          <w:szCs w:val="22"/>
        </w:rPr>
        <w:t>Por tanto, le correspondiéndole al superior funcional pronunciarse acerca de la legalidad y acierto de la determinación de la instancia inferior.</w:t>
      </w:r>
    </w:p>
    <w:p w:rsidR="001A5244" w:rsidRPr="00E009E9" w:rsidRDefault="001A5244" w:rsidP="009C6973">
      <w:pPr>
        <w:jc w:val="both"/>
        <w:rPr>
          <w:rFonts w:cs="Arial"/>
          <w:sz w:val="22"/>
          <w:szCs w:val="22"/>
        </w:rPr>
      </w:pPr>
    </w:p>
    <w:p w:rsidR="001A5244" w:rsidRPr="00E009E9" w:rsidRDefault="001A5244" w:rsidP="009C6973">
      <w:pPr>
        <w:jc w:val="both"/>
        <w:rPr>
          <w:rFonts w:cs="Arial"/>
          <w:sz w:val="22"/>
          <w:szCs w:val="22"/>
        </w:rPr>
      </w:pPr>
      <w:r w:rsidRPr="00E009E9">
        <w:rPr>
          <w:rFonts w:cs="Arial"/>
          <w:sz w:val="22"/>
          <w:szCs w:val="22"/>
        </w:rPr>
        <w:t>La jurisprudencia ha entendido que el propósito del recurso de queja es “</w:t>
      </w:r>
      <w:r w:rsidRPr="00E009E9">
        <w:rPr>
          <w:rFonts w:cs="Arial"/>
          <w:i/>
          <w:sz w:val="22"/>
          <w:szCs w:val="22"/>
        </w:rPr>
        <w:t>garantizar decisiones judiciales coherentes y consistentes, de manera que ninguno de los sujetos procesales vaya a verse lesionado con un error judicial por la negación del recurso de apelación, de alguno de los recursos extraordinarios previstos en el ordenamiento o, por su concesión en un efecto diferente al establecido</w:t>
      </w:r>
      <w:r w:rsidRPr="00E009E9">
        <w:rPr>
          <w:rFonts w:cs="Arial"/>
          <w:sz w:val="22"/>
          <w:szCs w:val="22"/>
        </w:rPr>
        <w:t>”.</w:t>
      </w:r>
    </w:p>
    <w:p w:rsidR="001A5244" w:rsidRPr="00E009E9" w:rsidRDefault="001A5244" w:rsidP="009C6973">
      <w:pPr>
        <w:jc w:val="both"/>
        <w:rPr>
          <w:rFonts w:cs="Arial"/>
          <w:sz w:val="22"/>
          <w:szCs w:val="22"/>
        </w:rPr>
      </w:pPr>
    </w:p>
    <w:p w:rsidR="001A5244" w:rsidRPr="00E009E9" w:rsidRDefault="001A5244" w:rsidP="009C6973">
      <w:pPr>
        <w:jc w:val="both"/>
        <w:rPr>
          <w:rFonts w:cs="Arial"/>
          <w:i/>
          <w:sz w:val="22"/>
          <w:szCs w:val="22"/>
        </w:rPr>
      </w:pPr>
      <w:r w:rsidRPr="00E009E9">
        <w:rPr>
          <w:rFonts w:cs="Arial"/>
          <w:sz w:val="22"/>
          <w:szCs w:val="22"/>
        </w:rPr>
        <w:t xml:space="preserve">En ese orden de ideas el artículo 76 de la Ley 1437 de 2011 del Código de Procedimiento Administrativo y de lo Contencioso Administrativo dispone </w:t>
      </w:r>
      <w:r w:rsidRPr="00E009E9">
        <w:rPr>
          <w:rFonts w:cs="Arial"/>
          <w:i/>
          <w:sz w:val="22"/>
          <w:szCs w:val="22"/>
        </w:rPr>
        <w:t>“OPORTUNIDAD Y PRESENTACIÒN. Los Recursos de reposición y apelación deberán interponerse por escrito en la diligencia de notificación personal, o dentro de los diez (10) días siguientes a ella, o a la notificación por aviso o al vencimiento del término de publicación, según el caso.” (…).</w:t>
      </w:r>
    </w:p>
    <w:p w:rsidR="001A5244" w:rsidRPr="00E009E9" w:rsidRDefault="001A5244" w:rsidP="009C6973">
      <w:pPr>
        <w:jc w:val="both"/>
        <w:rPr>
          <w:rFonts w:cs="Arial"/>
          <w:i/>
          <w:sz w:val="22"/>
          <w:szCs w:val="22"/>
        </w:rPr>
      </w:pPr>
    </w:p>
    <w:p w:rsidR="001A5244" w:rsidRDefault="001A5244" w:rsidP="009C6973">
      <w:pPr>
        <w:jc w:val="both"/>
        <w:rPr>
          <w:rFonts w:cs="Arial"/>
          <w:sz w:val="22"/>
          <w:szCs w:val="22"/>
        </w:rPr>
      </w:pPr>
      <w:r w:rsidRPr="00E009E9">
        <w:rPr>
          <w:rFonts w:cs="Arial"/>
          <w:sz w:val="22"/>
          <w:szCs w:val="22"/>
        </w:rPr>
        <w:t xml:space="preserve">Que de conformidad con lo previsto en el artículo 74 de la Ley 1437 de 2011, por regla general, el recurso de queja es facultativo y podrá interponerse directamente ante el superior de quien dictó la decisión, mediante escrito al que deberá acompañarse copia de la providencia que haya negado el </w:t>
      </w:r>
      <w:r w:rsidRPr="00E009E9">
        <w:rPr>
          <w:rFonts w:cs="Arial"/>
          <w:sz w:val="22"/>
          <w:szCs w:val="22"/>
        </w:rPr>
        <w:lastRenderedPageBreak/>
        <w:t xml:space="preserve">recurso de apelación. </w:t>
      </w:r>
      <w:r w:rsidRPr="00E009E9">
        <w:rPr>
          <w:rFonts w:cs="Arial"/>
          <w:sz w:val="22"/>
          <w:szCs w:val="22"/>
          <w:u w:val="single"/>
        </w:rPr>
        <w:t>De este recurso se podrá hacer uso dentro de los cinco (5) días siguientes a la notificación de la decisión</w:t>
      </w:r>
      <w:r w:rsidRPr="00E009E9">
        <w:rPr>
          <w:rFonts w:cs="Arial"/>
          <w:sz w:val="22"/>
          <w:szCs w:val="22"/>
        </w:rPr>
        <w:t>, que respalda lo anterior el artículo 245 de la Ley 1437 de 2011 cuando se extrae del mismo, que el recurso de queja procederá ante el superior cuando se niega la apelación, para que lo conceda si fuera procedente, acogiendo el trámite que establece el artículo 378 del Código de Procedimiento Civil.</w:t>
      </w:r>
    </w:p>
    <w:p w:rsidR="00E009E9" w:rsidRPr="00E009E9" w:rsidRDefault="00E009E9" w:rsidP="009C6973">
      <w:pPr>
        <w:jc w:val="both"/>
        <w:rPr>
          <w:rFonts w:cs="Arial"/>
          <w:sz w:val="22"/>
          <w:szCs w:val="22"/>
        </w:rPr>
      </w:pPr>
    </w:p>
    <w:p w:rsidR="001A5244" w:rsidRPr="00E009E9" w:rsidRDefault="001A5244" w:rsidP="009C6973">
      <w:pPr>
        <w:jc w:val="both"/>
        <w:rPr>
          <w:rFonts w:cs="Arial"/>
          <w:sz w:val="22"/>
          <w:szCs w:val="22"/>
        </w:rPr>
      </w:pPr>
      <w:r w:rsidRPr="00E009E9">
        <w:rPr>
          <w:rFonts w:cs="Arial"/>
          <w:sz w:val="22"/>
          <w:szCs w:val="22"/>
        </w:rPr>
        <w:t xml:space="preserve">Concluyendo por demás la interposición extemporánea de los aludidos recursos; ello debe llevar imperiosamente a esta instancia a otorgarle razón al primer operador y denegar lo argumentado por el sancionado al no encontrar asidero jurídico para sus afirmaciones.  </w:t>
      </w:r>
    </w:p>
    <w:p w:rsidR="001A5244" w:rsidRPr="00E009E9" w:rsidRDefault="001A5244" w:rsidP="009C6973">
      <w:pPr>
        <w:jc w:val="both"/>
        <w:rPr>
          <w:rFonts w:cs="Arial"/>
          <w:sz w:val="22"/>
          <w:szCs w:val="22"/>
        </w:rPr>
      </w:pPr>
    </w:p>
    <w:p w:rsidR="001A5244" w:rsidRPr="00E009E9" w:rsidRDefault="001A5244" w:rsidP="009C6973">
      <w:pPr>
        <w:jc w:val="both"/>
        <w:rPr>
          <w:rFonts w:cs="Arial"/>
          <w:i/>
          <w:iCs/>
          <w:sz w:val="22"/>
          <w:szCs w:val="22"/>
        </w:rPr>
      </w:pPr>
      <w:r w:rsidRPr="00E009E9">
        <w:rPr>
          <w:rFonts w:cs="Arial"/>
          <w:sz w:val="22"/>
          <w:szCs w:val="22"/>
        </w:rPr>
        <w:t xml:space="preserve">Cumpliendo con el mandado legal del artículo 76 de la Ley 1437 de 2011, tenemos que tal norma reza: </w:t>
      </w:r>
      <w:r w:rsidRPr="00E009E9">
        <w:rPr>
          <w:rFonts w:cs="Arial"/>
          <w:b/>
          <w:bCs/>
          <w:i/>
          <w:sz w:val="22"/>
          <w:szCs w:val="22"/>
        </w:rPr>
        <w:t>“Los recursos de reposición y apelación deberán interponerse por escrito en la diligencia de notificación personal, o dentro de los diez (10) días siguientes a ella, o a la notificación por aviso, o al vencimiento del término de publicación, según el caso (…)”</w:t>
      </w:r>
      <w:r w:rsidRPr="00E009E9">
        <w:rPr>
          <w:rFonts w:cs="Arial"/>
          <w:i/>
          <w:sz w:val="22"/>
          <w:szCs w:val="22"/>
        </w:rPr>
        <w:t xml:space="preserve"> </w:t>
      </w:r>
      <w:r w:rsidRPr="00E009E9">
        <w:rPr>
          <w:rFonts w:cs="Arial"/>
          <w:iCs/>
          <w:sz w:val="22"/>
          <w:szCs w:val="22"/>
        </w:rPr>
        <w:t xml:space="preserve">Así las cosas no vemos que el sancionado haya acatado tal imperativo legal haciendo nugatorio su derecho a impugnar. </w:t>
      </w:r>
    </w:p>
    <w:p w:rsidR="001A5244" w:rsidRPr="00E009E9" w:rsidRDefault="001A5244" w:rsidP="009C6973">
      <w:pPr>
        <w:jc w:val="both"/>
        <w:rPr>
          <w:rFonts w:cs="Arial"/>
          <w:sz w:val="22"/>
          <w:szCs w:val="22"/>
        </w:rPr>
      </w:pPr>
    </w:p>
    <w:p w:rsidR="001A5244" w:rsidRPr="00E009E9" w:rsidRDefault="001A5244" w:rsidP="009C6973">
      <w:pPr>
        <w:jc w:val="both"/>
        <w:rPr>
          <w:rFonts w:cs="Arial"/>
          <w:sz w:val="22"/>
          <w:szCs w:val="22"/>
        </w:rPr>
      </w:pPr>
      <w:r w:rsidRPr="00E009E9">
        <w:rPr>
          <w:rFonts w:cs="Arial"/>
          <w:sz w:val="22"/>
          <w:szCs w:val="22"/>
        </w:rPr>
        <w:t xml:space="preserve">En consecuencia, el operador jurídico de primera instancia obró conforme a derecho al rechazar los recursos que a bien tuvo interponer el investigado a efectos de intentar atacar la sanción impuesta. </w:t>
      </w:r>
    </w:p>
    <w:p w:rsidR="001A5244" w:rsidRPr="00E009E9" w:rsidRDefault="001A5244" w:rsidP="009C6973">
      <w:pPr>
        <w:jc w:val="both"/>
        <w:rPr>
          <w:rFonts w:cs="Arial"/>
          <w:sz w:val="22"/>
          <w:szCs w:val="22"/>
        </w:rPr>
      </w:pPr>
    </w:p>
    <w:p w:rsidR="001A5244" w:rsidRPr="00E009E9" w:rsidRDefault="001A5244" w:rsidP="009C6973">
      <w:pPr>
        <w:jc w:val="both"/>
        <w:rPr>
          <w:rFonts w:cs="Arial"/>
          <w:sz w:val="22"/>
          <w:szCs w:val="22"/>
        </w:rPr>
      </w:pPr>
      <w:r w:rsidRPr="00E009E9">
        <w:rPr>
          <w:rFonts w:cs="Arial"/>
          <w:sz w:val="22"/>
          <w:szCs w:val="22"/>
        </w:rPr>
        <w:t xml:space="preserve">En consecuencia, se confirmará de la Resolución No. 6867 de 28 de noviembre de 2024, </w:t>
      </w:r>
      <w:r w:rsidRPr="00E009E9">
        <w:rPr>
          <w:rFonts w:eastAsia="Calibri" w:cs="Arial"/>
          <w:sz w:val="22"/>
          <w:szCs w:val="22"/>
          <w:lang w:eastAsia="es-CO" w:bidi="ar-SA"/>
        </w:rPr>
        <w:t>Por la cual se rechaza un recurso de reposición y en subsidio de apelación</w:t>
      </w:r>
      <w:r w:rsidRPr="00E009E9">
        <w:rPr>
          <w:rFonts w:cs="Arial"/>
          <w:sz w:val="22"/>
          <w:szCs w:val="22"/>
        </w:rPr>
        <w:t xml:space="preserve">, proferida por la Subdirección de Vigilancia en Salud Pública de la Secretaría Distrital de Salud de Bogotá.  </w:t>
      </w:r>
    </w:p>
    <w:p w:rsidR="001A5244" w:rsidRPr="00E009E9" w:rsidRDefault="001A5244" w:rsidP="009C6973">
      <w:pPr>
        <w:jc w:val="both"/>
        <w:rPr>
          <w:rFonts w:cs="Arial"/>
          <w:sz w:val="22"/>
          <w:szCs w:val="22"/>
        </w:rPr>
      </w:pPr>
    </w:p>
    <w:p w:rsidR="001A5244" w:rsidRPr="00E009E9" w:rsidRDefault="001A5244" w:rsidP="009C6973">
      <w:pPr>
        <w:jc w:val="both"/>
        <w:rPr>
          <w:rFonts w:cs="Arial"/>
          <w:sz w:val="22"/>
          <w:szCs w:val="22"/>
        </w:rPr>
      </w:pPr>
    </w:p>
    <w:p w:rsidR="003742B3" w:rsidRPr="00E009E9" w:rsidRDefault="003742B3" w:rsidP="009C6973">
      <w:pPr>
        <w:jc w:val="both"/>
        <w:rPr>
          <w:rFonts w:cs="Arial"/>
          <w:sz w:val="22"/>
          <w:szCs w:val="22"/>
        </w:rPr>
      </w:pPr>
      <w:r w:rsidRPr="00E009E9">
        <w:rPr>
          <w:rFonts w:cs="Arial"/>
          <w:sz w:val="22"/>
          <w:szCs w:val="22"/>
        </w:rPr>
        <w:t xml:space="preserve">En mérito de Io expuesto, este Despacho, </w:t>
      </w:r>
    </w:p>
    <w:p w:rsidR="00C57511" w:rsidRPr="00E009E9" w:rsidRDefault="00C57511" w:rsidP="009C6973">
      <w:pPr>
        <w:jc w:val="center"/>
        <w:rPr>
          <w:rFonts w:cs="Arial"/>
          <w:b/>
          <w:sz w:val="22"/>
          <w:szCs w:val="22"/>
        </w:rPr>
      </w:pPr>
    </w:p>
    <w:p w:rsidR="003742B3" w:rsidRPr="00E009E9" w:rsidRDefault="003742B3" w:rsidP="009C6973">
      <w:pPr>
        <w:jc w:val="center"/>
        <w:rPr>
          <w:rFonts w:cs="Arial"/>
          <w:b/>
          <w:sz w:val="22"/>
          <w:szCs w:val="22"/>
        </w:rPr>
      </w:pPr>
      <w:r w:rsidRPr="00E009E9">
        <w:rPr>
          <w:rFonts w:cs="Arial"/>
          <w:b/>
          <w:sz w:val="22"/>
          <w:szCs w:val="22"/>
        </w:rPr>
        <w:t>RESUELVE:</w:t>
      </w:r>
      <w:r w:rsidR="003E0CDC">
        <w:rPr>
          <w:rFonts w:cs="Arial"/>
          <w:b/>
          <w:sz w:val="22"/>
          <w:szCs w:val="22"/>
        </w:rPr>
        <w:t xml:space="preserve"> </w:t>
      </w:r>
      <w:bookmarkStart w:id="2" w:name="_GoBack"/>
      <w:bookmarkEnd w:id="2"/>
    </w:p>
    <w:p w:rsidR="003742B3" w:rsidRPr="00E009E9" w:rsidRDefault="003742B3" w:rsidP="009C6973">
      <w:pPr>
        <w:jc w:val="center"/>
        <w:rPr>
          <w:rFonts w:cs="Arial"/>
          <w:b/>
          <w:sz w:val="22"/>
          <w:szCs w:val="22"/>
        </w:rPr>
      </w:pPr>
    </w:p>
    <w:p w:rsidR="005F6C8A" w:rsidRPr="00E009E9" w:rsidRDefault="003742B3" w:rsidP="009C6973">
      <w:pPr>
        <w:autoSpaceDE w:val="0"/>
        <w:autoSpaceDN w:val="0"/>
        <w:adjustRightInd w:val="0"/>
        <w:jc w:val="both"/>
        <w:rPr>
          <w:rFonts w:cs="Arial"/>
        </w:rPr>
      </w:pPr>
      <w:r w:rsidRPr="00E009E9">
        <w:rPr>
          <w:rFonts w:cs="Arial"/>
          <w:b/>
          <w:sz w:val="22"/>
          <w:szCs w:val="22"/>
        </w:rPr>
        <w:t xml:space="preserve">ARTÍCULO PRIMERO: </w:t>
      </w:r>
      <w:r w:rsidR="001A5244" w:rsidRPr="00E009E9">
        <w:rPr>
          <w:rFonts w:cs="Arial"/>
          <w:b/>
          <w:bCs/>
          <w:sz w:val="22"/>
          <w:szCs w:val="22"/>
        </w:rPr>
        <w:t>CONFIRMAR,</w:t>
      </w:r>
      <w:r w:rsidR="001A5244" w:rsidRPr="00E009E9">
        <w:rPr>
          <w:rFonts w:cs="Arial"/>
          <w:sz w:val="22"/>
          <w:szCs w:val="22"/>
        </w:rPr>
        <w:t xml:space="preserve"> en todas sus partes la Resolución No. 6867 de 28 de noviembre de 2024, mediante la cual la Subdirección de Vigilancia en Salud Pública de la Secretaría Distrital de Salud de Bogotá, </w:t>
      </w:r>
      <w:r w:rsidR="001A5244" w:rsidRPr="00E009E9">
        <w:rPr>
          <w:rFonts w:eastAsia="Calibri" w:cs="Arial"/>
          <w:sz w:val="22"/>
          <w:szCs w:val="22"/>
          <w:lang w:bidi="ar-SA"/>
        </w:rPr>
        <w:t xml:space="preserve">RECHAZA de plano el recurso de Reposición y en Subsidio apelación interpuesto por </w:t>
      </w:r>
      <w:r w:rsidR="001A5244" w:rsidRPr="00E009E9">
        <w:rPr>
          <w:rFonts w:cs="Arial"/>
          <w:sz w:val="22"/>
          <w:szCs w:val="22"/>
        </w:rPr>
        <w:t xml:space="preserve">la </w:t>
      </w:r>
      <w:r w:rsidR="001A5244" w:rsidRPr="00E009E9">
        <w:rPr>
          <w:rFonts w:eastAsia="Calibri" w:cs="Arial"/>
          <w:sz w:val="22"/>
          <w:szCs w:val="22"/>
          <w:lang w:eastAsia="es-CO" w:bidi="ar-SA"/>
        </w:rPr>
        <w:t xml:space="preserve">señora KATIA MARGARITA HOYOS </w:t>
      </w:r>
      <w:r w:rsidR="001A5244" w:rsidRPr="00E009E9">
        <w:rPr>
          <w:rFonts w:cs="Arial"/>
          <w:sz w:val="22"/>
          <w:szCs w:val="22"/>
        </w:rPr>
        <w:t>SALEME, identificada con cédula de ciudadanía 52.056.741, en calidad de propietario y/o responsable del establecimiento PARKING PLACE</w:t>
      </w:r>
      <w:r w:rsidR="001A5244" w:rsidRPr="00E009E9">
        <w:rPr>
          <w:rFonts w:eastAsia="Calibri" w:cs="Arial"/>
          <w:sz w:val="22"/>
          <w:szCs w:val="22"/>
          <w:lang w:bidi="ar-SA"/>
        </w:rPr>
        <w:t xml:space="preserve">, en contra de la Resolución No. </w:t>
      </w:r>
      <w:r w:rsidR="001A5244" w:rsidRPr="00E009E9">
        <w:rPr>
          <w:rFonts w:cs="Arial"/>
          <w:sz w:val="22"/>
          <w:szCs w:val="22"/>
        </w:rPr>
        <w:t xml:space="preserve">3862 del 11 de junio de 2024, </w:t>
      </w:r>
      <w:r w:rsidR="001A5244" w:rsidRPr="00E009E9">
        <w:rPr>
          <w:rFonts w:eastAsia="Calibri" w:cs="Arial"/>
          <w:sz w:val="22"/>
          <w:szCs w:val="22"/>
          <w:lang w:bidi="ar-SA"/>
        </w:rPr>
        <w:t xml:space="preserve"> proferida dentro de la investigación administrativa No. </w:t>
      </w:r>
      <w:r w:rsidR="005F4D7C" w:rsidRPr="00E009E9">
        <w:rPr>
          <w:rFonts w:cs="Arial"/>
          <w:sz w:val="22"/>
          <w:szCs w:val="22"/>
        </w:rPr>
        <w:t>7981-2021</w:t>
      </w:r>
      <w:r w:rsidR="001A5244" w:rsidRPr="00E009E9">
        <w:rPr>
          <w:rFonts w:eastAsia="Calibri" w:cs="Arial"/>
          <w:sz w:val="22"/>
          <w:szCs w:val="22"/>
          <w:lang w:bidi="ar-SA"/>
        </w:rPr>
        <w:t xml:space="preserve">, dada la extemporaneidad en su presentación.   </w:t>
      </w:r>
    </w:p>
    <w:p w:rsidR="00A15ABE" w:rsidRPr="00E009E9" w:rsidRDefault="005F6C8A" w:rsidP="009C6973">
      <w:pPr>
        <w:autoSpaceDE w:val="0"/>
        <w:autoSpaceDN w:val="0"/>
        <w:adjustRightInd w:val="0"/>
        <w:jc w:val="both"/>
        <w:rPr>
          <w:rFonts w:cs="Arial"/>
          <w:b/>
          <w:sz w:val="22"/>
          <w:szCs w:val="22"/>
        </w:rPr>
      </w:pPr>
      <w:r w:rsidRPr="00E009E9">
        <w:rPr>
          <w:rFonts w:cs="Arial"/>
          <w:sz w:val="22"/>
          <w:szCs w:val="22"/>
        </w:rPr>
        <w:t xml:space="preserve"> </w:t>
      </w:r>
    </w:p>
    <w:p w:rsidR="005F6C8A" w:rsidRPr="00E009E9" w:rsidRDefault="00A15ABE" w:rsidP="009C6973">
      <w:pPr>
        <w:ind w:left="20" w:right="20"/>
        <w:jc w:val="both"/>
        <w:rPr>
          <w:rFonts w:cs="Arial"/>
          <w:sz w:val="22"/>
          <w:szCs w:val="22"/>
        </w:rPr>
      </w:pPr>
      <w:r w:rsidRPr="00E009E9">
        <w:rPr>
          <w:rFonts w:cs="Arial"/>
          <w:b/>
          <w:sz w:val="22"/>
          <w:szCs w:val="22"/>
        </w:rPr>
        <w:t>ARTÍCULO SEGUNDO</w:t>
      </w:r>
      <w:r w:rsidRPr="00E009E9">
        <w:rPr>
          <w:rFonts w:cs="Arial"/>
          <w:sz w:val="22"/>
          <w:szCs w:val="22"/>
        </w:rPr>
        <w:t xml:space="preserve">: </w:t>
      </w:r>
      <w:r w:rsidR="005F6C8A" w:rsidRPr="00E009E9">
        <w:rPr>
          <w:rFonts w:cs="Arial"/>
          <w:b/>
          <w:bCs/>
          <w:sz w:val="22"/>
          <w:szCs w:val="22"/>
        </w:rPr>
        <w:t>NOTIFICAR</w:t>
      </w:r>
      <w:r w:rsidR="005F6C8A" w:rsidRPr="00E009E9">
        <w:rPr>
          <w:rFonts w:cs="Arial"/>
          <w:sz w:val="22"/>
          <w:szCs w:val="22"/>
        </w:rPr>
        <w:t xml:space="preserve"> del contenido de esta resolución a la parte investigada</w:t>
      </w:r>
      <w:r w:rsidR="00E13CB5" w:rsidRPr="00E009E9">
        <w:rPr>
          <w:rFonts w:cs="Arial"/>
          <w:sz w:val="22"/>
          <w:szCs w:val="22"/>
        </w:rPr>
        <w:t>, haciéndole</w:t>
      </w:r>
      <w:r w:rsidR="005F6C8A" w:rsidRPr="00E009E9">
        <w:rPr>
          <w:rFonts w:cs="Arial"/>
          <w:sz w:val="22"/>
          <w:szCs w:val="22"/>
        </w:rPr>
        <w:t xml:space="preserve"> saber que contra la presente decisión no procede recurso alguno. </w:t>
      </w:r>
    </w:p>
    <w:p w:rsidR="005F6C8A" w:rsidRPr="00E009E9" w:rsidRDefault="005F6C8A" w:rsidP="009C6973">
      <w:pPr>
        <w:ind w:left="20" w:right="20"/>
        <w:jc w:val="both"/>
        <w:rPr>
          <w:rFonts w:cs="Arial"/>
          <w:sz w:val="22"/>
          <w:szCs w:val="22"/>
        </w:rPr>
      </w:pPr>
    </w:p>
    <w:p w:rsidR="005F6C8A" w:rsidRPr="00E009E9" w:rsidRDefault="005F6C8A" w:rsidP="009C6973">
      <w:pPr>
        <w:ind w:left="20" w:right="20"/>
        <w:jc w:val="both"/>
        <w:rPr>
          <w:rFonts w:cs="Arial"/>
          <w:sz w:val="22"/>
          <w:szCs w:val="22"/>
        </w:rPr>
      </w:pPr>
      <w:r w:rsidRPr="00E009E9">
        <w:rPr>
          <w:rFonts w:cs="Arial"/>
          <w:b/>
          <w:bCs/>
          <w:sz w:val="22"/>
          <w:szCs w:val="22"/>
        </w:rPr>
        <w:lastRenderedPageBreak/>
        <w:t>PARÁGRAFO:</w:t>
      </w:r>
      <w:r w:rsidRPr="00E009E9">
        <w:rPr>
          <w:rFonts w:cs="Arial"/>
          <w:sz w:val="22"/>
          <w:szCs w:val="22"/>
        </w:rPr>
        <w:t xml:space="preserve"> Si no fuere posible notificar personalmente dentro del término legal previsto, deberá hacerse conforme a lo establecido en el Código de Procedimiento Administrativo y de lo Contencioso Administrativo - CPACA.</w:t>
      </w:r>
    </w:p>
    <w:p w:rsidR="003742B3" w:rsidRPr="00E009E9" w:rsidRDefault="003742B3" w:rsidP="009C6973">
      <w:pPr>
        <w:autoSpaceDE w:val="0"/>
        <w:autoSpaceDN w:val="0"/>
        <w:adjustRightInd w:val="0"/>
        <w:jc w:val="both"/>
        <w:rPr>
          <w:rFonts w:eastAsia="Calibri" w:cs="Arial"/>
          <w:sz w:val="22"/>
          <w:szCs w:val="22"/>
          <w:lang w:bidi="ar-SA"/>
        </w:rPr>
      </w:pPr>
    </w:p>
    <w:p w:rsidR="005F6C8A" w:rsidRPr="00E009E9" w:rsidRDefault="00A15ABE" w:rsidP="009C6973">
      <w:pPr>
        <w:ind w:left="20" w:right="20"/>
        <w:jc w:val="both"/>
        <w:rPr>
          <w:rFonts w:cs="Arial"/>
          <w:sz w:val="22"/>
          <w:szCs w:val="22"/>
        </w:rPr>
      </w:pPr>
      <w:r w:rsidRPr="00E009E9">
        <w:rPr>
          <w:rFonts w:cs="Arial"/>
          <w:b/>
          <w:bCs/>
          <w:sz w:val="22"/>
          <w:szCs w:val="22"/>
        </w:rPr>
        <w:t xml:space="preserve">ARTICULO TERCERO: </w:t>
      </w:r>
      <w:r w:rsidR="005F6C8A" w:rsidRPr="00E009E9">
        <w:rPr>
          <w:rFonts w:cs="Arial"/>
          <w:b/>
          <w:bCs/>
          <w:sz w:val="22"/>
          <w:szCs w:val="22"/>
        </w:rPr>
        <w:t>NOTIFICADA</w:t>
      </w:r>
      <w:r w:rsidR="005F6C8A" w:rsidRPr="00E009E9">
        <w:rPr>
          <w:rFonts w:cs="Arial"/>
          <w:sz w:val="22"/>
          <w:szCs w:val="22"/>
        </w:rPr>
        <w:t xml:space="preserve"> la presente providencia, se ordena devolver el expediente a la Subdirección de Vigilancia en Salud Pública de la Secretaría Distrital de Salud de Bogotá, para que continúe con el trámite legal a que haya lugar. </w:t>
      </w:r>
    </w:p>
    <w:p w:rsidR="003B0B72" w:rsidRPr="00E009E9" w:rsidRDefault="003B0B72" w:rsidP="009C6973">
      <w:pPr>
        <w:ind w:left="20" w:right="20"/>
        <w:jc w:val="both"/>
        <w:rPr>
          <w:rFonts w:cs="Arial"/>
          <w:sz w:val="22"/>
          <w:szCs w:val="22"/>
        </w:rPr>
      </w:pPr>
    </w:p>
    <w:p w:rsidR="003742B3" w:rsidRPr="00E009E9" w:rsidRDefault="00A15ABE" w:rsidP="009C6973">
      <w:pPr>
        <w:ind w:left="20" w:right="20"/>
        <w:jc w:val="both"/>
        <w:rPr>
          <w:rFonts w:cs="Arial"/>
          <w:sz w:val="22"/>
          <w:szCs w:val="22"/>
        </w:rPr>
      </w:pPr>
      <w:r w:rsidRPr="00E009E9">
        <w:rPr>
          <w:rFonts w:cs="Arial"/>
          <w:b/>
          <w:bCs/>
          <w:sz w:val="22"/>
          <w:szCs w:val="22"/>
          <w:lang w:val="es-MX"/>
        </w:rPr>
        <w:t>ARTÍCULO CUARTO:</w:t>
      </w:r>
      <w:r w:rsidRPr="00E009E9">
        <w:rPr>
          <w:rFonts w:cs="Arial"/>
          <w:b/>
          <w:bCs/>
          <w:sz w:val="22"/>
          <w:szCs w:val="22"/>
        </w:rPr>
        <w:t xml:space="preserve"> </w:t>
      </w:r>
      <w:r w:rsidR="00E13CB5" w:rsidRPr="00E009E9">
        <w:rPr>
          <w:rFonts w:cs="Arial"/>
          <w:sz w:val="22"/>
          <w:szCs w:val="22"/>
        </w:rPr>
        <w:t xml:space="preserve">La presente resolución rige a partir de la fecha de su expedición.               </w:t>
      </w:r>
    </w:p>
    <w:p w:rsidR="003742B3" w:rsidRPr="00E009E9" w:rsidRDefault="003742B3" w:rsidP="009C6973">
      <w:pPr>
        <w:jc w:val="both"/>
        <w:rPr>
          <w:rFonts w:cs="Arial"/>
          <w:b/>
          <w:bCs/>
          <w:sz w:val="22"/>
          <w:szCs w:val="22"/>
        </w:rPr>
      </w:pPr>
    </w:p>
    <w:p w:rsidR="003742B3" w:rsidRPr="00E009E9" w:rsidRDefault="003742B3" w:rsidP="009C6973">
      <w:pPr>
        <w:jc w:val="both"/>
        <w:rPr>
          <w:rFonts w:cs="Arial"/>
          <w:sz w:val="22"/>
          <w:szCs w:val="22"/>
        </w:rPr>
      </w:pPr>
    </w:p>
    <w:p w:rsidR="003742B3" w:rsidRPr="00E009E9" w:rsidRDefault="003742B3" w:rsidP="009C6973">
      <w:pPr>
        <w:jc w:val="center"/>
        <w:rPr>
          <w:rFonts w:cs="Arial"/>
          <w:b/>
          <w:bCs/>
          <w:sz w:val="22"/>
          <w:szCs w:val="22"/>
        </w:rPr>
      </w:pPr>
      <w:r w:rsidRPr="00E009E9">
        <w:rPr>
          <w:rFonts w:cs="Arial"/>
          <w:b/>
          <w:bCs/>
          <w:sz w:val="22"/>
          <w:szCs w:val="22"/>
        </w:rPr>
        <w:t>NOTIFÍQUESE Y CÚMPLASE.</w:t>
      </w:r>
    </w:p>
    <w:p w:rsidR="003742B3" w:rsidRPr="00E009E9" w:rsidRDefault="003742B3" w:rsidP="009C6973">
      <w:pPr>
        <w:keepNext/>
        <w:outlineLvl w:val="1"/>
        <w:rPr>
          <w:rFonts w:cs="Arial"/>
          <w:noProof/>
          <w:sz w:val="22"/>
          <w:szCs w:val="22"/>
          <w:lang w:val="x-none" w:eastAsia="x-none"/>
        </w:rPr>
      </w:pPr>
    </w:p>
    <w:p w:rsidR="003742B3" w:rsidRPr="00E009E9" w:rsidRDefault="003742B3" w:rsidP="009C6973">
      <w:pPr>
        <w:keepNext/>
        <w:outlineLvl w:val="1"/>
        <w:rPr>
          <w:rFonts w:cs="Arial"/>
          <w:noProof/>
          <w:sz w:val="22"/>
          <w:szCs w:val="22"/>
          <w:lang w:val="x-none" w:eastAsia="x-none"/>
        </w:rPr>
      </w:pPr>
    </w:p>
    <w:p w:rsidR="003742B3" w:rsidRPr="00E009E9" w:rsidRDefault="003742B3" w:rsidP="009C6973">
      <w:pPr>
        <w:keepNext/>
        <w:outlineLvl w:val="1"/>
        <w:rPr>
          <w:rFonts w:cs="Arial"/>
          <w:noProof/>
          <w:sz w:val="22"/>
          <w:szCs w:val="22"/>
          <w:lang w:val="es-ES" w:eastAsia="x-none"/>
        </w:rPr>
      </w:pPr>
      <w:r w:rsidRPr="00E009E9">
        <w:rPr>
          <w:rFonts w:cs="Arial"/>
          <w:noProof/>
          <w:sz w:val="22"/>
          <w:szCs w:val="22"/>
          <w:lang w:val="x-none" w:eastAsia="x-none"/>
        </w:rPr>
        <w:t>Dada en Bogotá D.C., a los</w:t>
      </w:r>
      <w:r w:rsidRPr="00E009E9">
        <w:rPr>
          <w:rFonts w:cs="Arial"/>
          <w:noProof/>
          <w:sz w:val="22"/>
          <w:szCs w:val="22"/>
          <w:lang w:val="es-ES" w:eastAsia="x-none"/>
        </w:rPr>
        <w:t>:______________</w:t>
      </w:r>
    </w:p>
    <w:p w:rsidR="003742B3" w:rsidRPr="00E009E9" w:rsidRDefault="003742B3" w:rsidP="009C6973">
      <w:pPr>
        <w:rPr>
          <w:rFonts w:cs="Arial"/>
          <w:sz w:val="22"/>
          <w:szCs w:val="22"/>
        </w:rPr>
      </w:pPr>
    </w:p>
    <w:p w:rsidR="003742B3" w:rsidRPr="00E009E9" w:rsidRDefault="003742B3" w:rsidP="009C6973">
      <w:pPr>
        <w:rPr>
          <w:rFonts w:cs="Arial"/>
          <w:sz w:val="22"/>
          <w:szCs w:val="22"/>
        </w:rPr>
      </w:pPr>
    </w:p>
    <w:p w:rsidR="009C6973" w:rsidRPr="00E009E9" w:rsidRDefault="009C6973" w:rsidP="009C6973">
      <w:pPr>
        <w:rPr>
          <w:rFonts w:cs="Arial"/>
          <w:sz w:val="22"/>
          <w:szCs w:val="22"/>
        </w:rPr>
      </w:pPr>
    </w:p>
    <w:p w:rsidR="003742B3" w:rsidRPr="00E009E9" w:rsidRDefault="003742B3" w:rsidP="009C6973">
      <w:pPr>
        <w:rPr>
          <w:rFonts w:cs="Arial"/>
          <w:sz w:val="22"/>
          <w:szCs w:val="22"/>
        </w:rPr>
      </w:pPr>
    </w:p>
    <w:p w:rsidR="003742B3" w:rsidRPr="00E009E9" w:rsidRDefault="003742B3" w:rsidP="009C6973">
      <w:pPr>
        <w:rPr>
          <w:rFonts w:cs="Arial"/>
          <w:sz w:val="22"/>
          <w:szCs w:val="22"/>
        </w:rPr>
      </w:pPr>
    </w:p>
    <w:p w:rsidR="003742B3" w:rsidRPr="00E009E9" w:rsidRDefault="003742B3" w:rsidP="009C6973">
      <w:pPr>
        <w:rPr>
          <w:rFonts w:cs="Arial"/>
          <w:sz w:val="22"/>
          <w:szCs w:val="22"/>
        </w:rPr>
      </w:pPr>
    </w:p>
    <w:p w:rsidR="003742B3" w:rsidRPr="00E009E9" w:rsidRDefault="003742B3" w:rsidP="009C6973">
      <w:pPr>
        <w:jc w:val="center"/>
        <w:rPr>
          <w:rFonts w:cs="Arial"/>
          <w:b/>
          <w:bCs/>
          <w:sz w:val="22"/>
          <w:szCs w:val="22"/>
        </w:rPr>
      </w:pPr>
      <w:r w:rsidRPr="00E009E9">
        <w:rPr>
          <w:rFonts w:cs="Arial"/>
          <w:b/>
          <w:bCs/>
          <w:sz w:val="22"/>
          <w:szCs w:val="22"/>
        </w:rPr>
        <w:t>GERSON ORLANDO BERMONT GALAVIS</w:t>
      </w:r>
    </w:p>
    <w:p w:rsidR="003742B3" w:rsidRPr="00E009E9" w:rsidRDefault="003742B3" w:rsidP="009C6973">
      <w:pPr>
        <w:jc w:val="center"/>
        <w:rPr>
          <w:rFonts w:cs="Arial"/>
          <w:b/>
          <w:bCs/>
          <w:sz w:val="22"/>
          <w:szCs w:val="22"/>
        </w:rPr>
      </w:pPr>
      <w:r w:rsidRPr="00E009E9">
        <w:rPr>
          <w:rFonts w:cs="Arial"/>
          <w:b/>
          <w:bCs/>
          <w:sz w:val="22"/>
          <w:szCs w:val="22"/>
        </w:rPr>
        <w:t>Secretario Distrital de Salud</w:t>
      </w:r>
    </w:p>
    <w:p w:rsidR="003742B3" w:rsidRPr="00E009E9" w:rsidRDefault="003742B3" w:rsidP="009C6973">
      <w:pPr>
        <w:rPr>
          <w:rFonts w:cs="Arial"/>
          <w:iCs/>
          <w:sz w:val="14"/>
          <w:szCs w:val="14"/>
        </w:rPr>
      </w:pPr>
    </w:p>
    <w:p w:rsidR="003742B3" w:rsidRPr="00E009E9" w:rsidRDefault="003742B3" w:rsidP="009C6973">
      <w:pPr>
        <w:rPr>
          <w:rFonts w:cs="Arial"/>
          <w:iCs/>
          <w:sz w:val="14"/>
          <w:szCs w:val="14"/>
        </w:rPr>
      </w:pPr>
    </w:p>
    <w:p w:rsidR="003742B3" w:rsidRPr="00E009E9" w:rsidRDefault="003742B3" w:rsidP="009C6973">
      <w:pPr>
        <w:rPr>
          <w:rFonts w:cs="Arial"/>
          <w:sz w:val="14"/>
          <w:szCs w:val="14"/>
        </w:rPr>
      </w:pPr>
      <w:r w:rsidRPr="00E009E9">
        <w:rPr>
          <w:rFonts w:cs="Arial"/>
          <w:iCs/>
          <w:sz w:val="14"/>
          <w:szCs w:val="14"/>
        </w:rPr>
        <w:t xml:space="preserve">Elaboró: Giovanny Fajardo Jiménez. </w:t>
      </w:r>
    </w:p>
    <w:p w:rsidR="003742B3" w:rsidRPr="00E009E9" w:rsidRDefault="003742B3" w:rsidP="009C6973">
      <w:pPr>
        <w:rPr>
          <w:rFonts w:cs="Arial"/>
          <w:iCs/>
          <w:sz w:val="14"/>
          <w:szCs w:val="14"/>
        </w:rPr>
      </w:pPr>
      <w:r w:rsidRPr="00E009E9">
        <w:rPr>
          <w:rFonts w:cs="Arial"/>
          <w:iCs/>
          <w:sz w:val="14"/>
          <w:szCs w:val="14"/>
        </w:rPr>
        <w:t xml:space="preserve">Reviso: Julio Cesar Lozano Mier. </w:t>
      </w:r>
    </w:p>
    <w:p w:rsidR="006326FC" w:rsidRPr="00E009E9" w:rsidRDefault="003742B3" w:rsidP="009C6973">
      <w:pPr>
        <w:rPr>
          <w:rFonts w:cs="Arial"/>
        </w:rPr>
      </w:pPr>
      <w:r w:rsidRPr="00E009E9">
        <w:rPr>
          <w:rFonts w:cs="Arial"/>
          <w:iCs/>
          <w:sz w:val="14"/>
          <w:szCs w:val="14"/>
        </w:rPr>
        <w:t>Aprobó: Melissa Triana Luna.</w:t>
      </w:r>
      <w:r w:rsidR="007E41E1" w:rsidRPr="00E009E9">
        <w:rPr>
          <w:rFonts w:cs="Arial"/>
          <w:iCs/>
          <w:sz w:val="14"/>
          <w:szCs w:val="14"/>
        </w:rPr>
        <w:t xml:space="preserve"> </w:t>
      </w:r>
      <w:r w:rsidR="00B73F85" w:rsidRPr="00E009E9">
        <w:rPr>
          <w:rFonts w:cs="Arial"/>
          <w:iCs/>
          <w:sz w:val="14"/>
          <w:szCs w:val="14"/>
        </w:rPr>
        <w:t xml:space="preserve"> </w:t>
      </w:r>
    </w:p>
    <w:sectPr w:rsidR="006326FC" w:rsidRPr="00E009E9" w:rsidSect="003742B3">
      <w:headerReference w:type="default" r:id="rId8"/>
      <w:footerReference w:type="even" r:id="rId9"/>
      <w:footerReference w:type="default" r:id="rId10"/>
      <w:headerReference w:type="first" r:id="rId11"/>
      <w:footerReference w:type="first" r:id="rId12"/>
      <w:pgSz w:w="12240" w:h="15840" w:code="1"/>
      <w:pgMar w:top="2268" w:right="1134" w:bottom="1418" w:left="1134" w:header="0" w:footer="352"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2AA" w:rsidRDefault="001F22AA" w:rsidP="001F22AA">
      <w:r>
        <w:separator/>
      </w:r>
    </w:p>
  </w:endnote>
  <w:endnote w:type="continuationSeparator" w:id="0">
    <w:p w:rsidR="001F22AA" w:rsidRDefault="001F22AA" w:rsidP="001F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EE4" w:rsidRDefault="0005149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146EE4" w:rsidRDefault="003E0CD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40A" w:rsidRDefault="003742B3" w:rsidP="0082440A">
    <w:pPr>
      <w:pStyle w:val="Piedepgina"/>
      <w:jc w:val="right"/>
      <w:rPr>
        <w:b/>
      </w:rPr>
    </w:pPr>
    <w:r w:rsidRPr="00076842">
      <w:rPr>
        <w:noProof/>
        <w:lang w:val="es-CO" w:eastAsia="es-CO" w:bidi="ar-SA"/>
      </w:rPr>
      <w:drawing>
        <wp:inline distT="0" distB="0" distL="0" distR="0">
          <wp:extent cx="6134100" cy="847725"/>
          <wp:effectExtent l="0" t="0" r="0"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847725"/>
                  </a:xfrm>
                  <a:prstGeom prst="rect">
                    <a:avLst/>
                  </a:prstGeom>
                  <a:noFill/>
                  <a:ln>
                    <a:noFill/>
                  </a:ln>
                </pic:spPr>
              </pic:pic>
            </a:graphicData>
          </a:graphic>
        </wp:inline>
      </w:drawing>
    </w:r>
  </w:p>
  <w:p w:rsidR="00146EE4" w:rsidRPr="00B71F52" w:rsidRDefault="0005149F" w:rsidP="00BE6DF1">
    <w:pPr>
      <w:jc w:val="right"/>
      <w:rPr>
        <w:sz w:val="18"/>
        <w:szCs w:val="18"/>
        <w:lang w:val="es-ES"/>
      </w:rPr>
    </w:pPr>
    <w:r w:rsidRPr="00B71F52">
      <w:rPr>
        <w:sz w:val="18"/>
        <w:szCs w:val="18"/>
        <w:lang w:val="es-ES"/>
      </w:rPr>
      <w:t xml:space="preserve">Página </w:t>
    </w:r>
    <w:r w:rsidRPr="00B71F52">
      <w:rPr>
        <w:sz w:val="18"/>
        <w:szCs w:val="18"/>
        <w:lang w:val="es-ES"/>
      </w:rPr>
      <w:fldChar w:fldCharType="begin"/>
    </w:r>
    <w:r w:rsidRPr="00B71F52">
      <w:rPr>
        <w:sz w:val="18"/>
        <w:szCs w:val="18"/>
        <w:lang w:val="es-ES"/>
      </w:rPr>
      <w:instrText xml:space="preserve"> PAGE </w:instrText>
    </w:r>
    <w:r w:rsidRPr="00B71F52">
      <w:rPr>
        <w:sz w:val="18"/>
        <w:szCs w:val="18"/>
        <w:lang w:val="es-ES"/>
      </w:rPr>
      <w:fldChar w:fldCharType="separate"/>
    </w:r>
    <w:r w:rsidR="003E0CDC">
      <w:rPr>
        <w:noProof/>
        <w:sz w:val="18"/>
        <w:szCs w:val="18"/>
        <w:lang w:val="es-ES"/>
      </w:rPr>
      <w:t>7</w:t>
    </w:r>
    <w:r w:rsidRPr="00B71F52">
      <w:rPr>
        <w:sz w:val="18"/>
        <w:szCs w:val="18"/>
        <w:lang w:val="es-ES"/>
      </w:rPr>
      <w:fldChar w:fldCharType="end"/>
    </w:r>
    <w:r w:rsidRPr="00B71F52">
      <w:rPr>
        <w:sz w:val="18"/>
        <w:szCs w:val="18"/>
        <w:lang w:val="es-ES"/>
      </w:rPr>
      <w:t xml:space="preserve"> de </w:t>
    </w:r>
    <w:r w:rsidRPr="00B71F52">
      <w:rPr>
        <w:sz w:val="18"/>
        <w:szCs w:val="18"/>
        <w:lang w:val="es-ES"/>
      </w:rPr>
      <w:fldChar w:fldCharType="begin"/>
    </w:r>
    <w:r w:rsidRPr="00B71F52">
      <w:rPr>
        <w:sz w:val="18"/>
        <w:szCs w:val="18"/>
        <w:lang w:val="es-ES"/>
      </w:rPr>
      <w:instrText xml:space="preserve"> NUMPAGES  </w:instrText>
    </w:r>
    <w:r w:rsidRPr="00B71F52">
      <w:rPr>
        <w:sz w:val="18"/>
        <w:szCs w:val="18"/>
        <w:lang w:val="es-ES"/>
      </w:rPr>
      <w:fldChar w:fldCharType="separate"/>
    </w:r>
    <w:r w:rsidR="003E0CDC">
      <w:rPr>
        <w:noProof/>
        <w:sz w:val="18"/>
        <w:szCs w:val="18"/>
        <w:lang w:val="es-ES"/>
      </w:rPr>
      <w:t>7</w:t>
    </w:r>
    <w:r w:rsidRPr="00B71F52">
      <w:rPr>
        <w:sz w:val="18"/>
        <w:szCs w:val="18"/>
        <w:lang w:val="es-ES"/>
      </w:rPr>
      <w:fldChar w:fldCharType="end"/>
    </w:r>
  </w:p>
  <w:p w:rsidR="00146EE4" w:rsidRDefault="003E0CDC">
    <w:pPr>
      <w:pStyle w:val="Piedepgina"/>
      <w:ind w:right="360"/>
    </w:pPr>
  </w:p>
  <w:p w:rsidR="004448D9" w:rsidRDefault="004448D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6973" w:rsidRDefault="009C6973" w:rsidP="00BE6DF1">
    <w:pPr>
      <w:jc w:val="right"/>
      <w:rPr>
        <w:sz w:val="18"/>
        <w:szCs w:val="18"/>
        <w:lang w:val="es-ES"/>
      </w:rPr>
    </w:pPr>
  </w:p>
  <w:p w:rsidR="00146EE4" w:rsidRPr="00B71F52" w:rsidRDefault="003742B3" w:rsidP="00BE6DF1">
    <w:pPr>
      <w:jc w:val="right"/>
      <w:rPr>
        <w:sz w:val="18"/>
        <w:szCs w:val="18"/>
        <w:lang w:val="es-ES"/>
      </w:rPr>
    </w:pPr>
    <w:r w:rsidRPr="00076842">
      <w:rPr>
        <w:noProof/>
        <w:lang w:eastAsia="es-CO" w:bidi="ar-SA"/>
      </w:rPr>
      <w:drawing>
        <wp:inline distT="0" distB="0" distL="0" distR="0">
          <wp:extent cx="5467350" cy="7524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7350" cy="752475"/>
                  </a:xfrm>
                  <a:prstGeom prst="rect">
                    <a:avLst/>
                  </a:prstGeom>
                  <a:noFill/>
                  <a:ln>
                    <a:noFill/>
                  </a:ln>
                </pic:spPr>
              </pic:pic>
            </a:graphicData>
          </a:graphic>
        </wp:inline>
      </w:drawing>
    </w:r>
    <w:r w:rsidR="0005149F" w:rsidRPr="00B71F52">
      <w:rPr>
        <w:sz w:val="18"/>
        <w:szCs w:val="18"/>
        <w:lang w:val="es-ES"/>
      </w:rPr>
      <w:t xml:space="preserve">Página </w:t>
    </w:r>
    <w:r w:rsidR="0005149F" w:rsidRPr="00B71F52">
      <w:rPr>
        <w:sz w:val="18"/>
        <w:szCs w:val="18"/>
        <w:lang w:val="es-ES"/>
      </w:rPr>
      <w:fldChar w:fldCharType="begin"/>
    </w:r>
    <w:r w:rsidR="0005149F" w:rsidRPr="00B71F52">
      <w:rPr>
        <w:sz w:val="18"/>
        <w:szCs w:val="18"/>
        <w:lang w:val="es-ES"/>
      </w:rPr>
      <w:instrText xml:space="preserve"> PAGE </w:instrText>
    </w:r>
    <w:r w:rsidR="0005149F" w:rsidRPr="00B71F52">
      <w:rPr>
        <w:sz w:val="18"/>
        <w:szCs w:val="18"/>
        <w:lang w:val="es-ES"/>
      </w:rPr>
      <w:fldChar w:fldCharType="separate"/>
    </w:r>
    <w:r w:rsidR="003E0CDC">
      <w:rPr>
        <w:noProof/>
        <w:sz w:val="18"/>
        <w:szCs w:val="18"/>
        <w:lang w:val="es-ES"/>
      </w:rPr>
      <w:t>1</w:t>
    </w:r>
    <w:r w:rsidR="0005149F" w:rsidRPr="00B71F52">
      <w:rPr>
        <w:sz w:val="18"/>
        <w:szCs w:val="18"/>
        <w:lang w:val="es-ES"/>
      </w:rPr>
      <w:fldChar w:fldCharType="end"/>
    </w:r>
    <w:r w:rsidR="0005149F" w:rsidRPr="00B71F52">
      <w:rPr>
        <w:sz w:val="18"/>
        <w:szCs w:val="18"/>
        <w:lang w:val="es-ES"/>
      </w:rPr>
      <w:t xml:space="preserve"> de </w:t>
    </w:r>
    <w:r w:rsidR="0005149F" w:rsidRPr="00B71F52">
      <w:rPr>
        <w:sz w:val="18"/>
        <w:szCs w:val="18"/>
        <w:lang w:val="es-ES"/>
      </w:rPr>
      <w:fldChar w:fldCharType="begin"/>
    </w:r>
    <w:r w:rsidR="0005149F" w:rsidRPr="00B71F52">
      <w:rPr>
        <w:sz w:val="18"/>
        <w:szCs w:val="18"/>
        <w:lang w:val="es-ES"/>
      </w:rPr>
      <w:instrText xml:space="preserve"> NUMPAGES  </w:instrText>
    </w:r>
    <w:r w:rsidR="0005149F" w:rsidRPr="00B71F52">
      <w:rPr>
        <w:sz w:val="18"/>
        <w:szCs w:val="18"/>
        <w:lang w:val="es-ES"/>
      </w:rPr>
      <w:fldChar w:fldCharType="separate"/>
    </w:r>
    <w:r w:rsidR="003E0CDC">
      <w:rPr>
        <w:noProof/>
        <w:sz w:val="18"/>
        <w:szCs w:val="18"/>
        <w:lang w:val="es-ES"/>
      </w:rPr>
      <w:t>7</w:t>
    </w:r>
    <w:r w:rsidR="0005149F" w:rsidRPr="00B71F52">
      <w:rPr>
        <w:sz w:val="18"/>
        <w:szCs w:val="18"/>
        <w:lang w:val="es-ES"/>
      </w:rPr>
      <w:fldChar w:fldCharType="end"/>
    </w:r>
  </w:p>
  <w:p w:rsidR="00146EE4" w:rsidRDefault="003E0CDC" w:rsidP="00BE6DF1">
    <w:pPr>
      <w:jc w:val="right"/>
      <w:rPr>
        <w:lang w:val="es-ES"/>
      </w:rPr>
    </w:pPr>
  </w:p>
  <w:p w:rsidR="00146EE4" w:rsidRDefault="003E0CD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2AA" w:rsidRDefault="001F22AA" w:rsidP="001F22AA">
      <w:r>
        <w:separator/>
      </w:r>
    </w:p>
  </w:footnote>
  <w:footnote w:type="continuationSeparator" w:id="0">
    <w:p w:rsidR="001F22AA" w:rsidRDefault="001F22AA" w:rsidP="001F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3281" w:rsidRPr="00033281" w:rsidRDefault="003742B3" w:rsidP="00033281">
    <w:pPr>
      <w:pStyle w:val="Encabezado"/>
    </w:pPr>
    <w:r w:rsidRPr="00430590">
      <w:rPr>
        <w:noProof/>
        <w:lang w:val="es-CO" w:eastAsia="es-CO" w:bidi="ar-SA"/>
      </w:rPr>
      <w:drawing>
        <wp:inline distT="0" distB="0" distL="0" distR="0">
          <wp:extent cx="5610225" cy="952500"/>
          <wp:effectExtent l="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952500"/>
                  </a:xfrm>
                  <a:prstGeom prst="rect">
                    <a:avLst/>
                  </a:prstGeom>
                  <a:noFill/>
                  <a:ln>
                    <a:noFill/>
                  </a:ln>
                </pic:spPr>
              </pic:pic>
            </a:graphicData>
          </a:graphic>
        </wp:inline>
      </w:drawing>
    </w:r>
  </w:p>
  <w:p w:rsidR="00146EE4" w:rsidRDefault="003E0CDC" w:rsidP="00BE6DF1">
    <w:pPr>
      <w:pStyle w:val="Direccininterior"/>
      <w:rPr>
        <w:rFonts w:ascii="Arial" w:hAnsi="Arial" w:cs="Arial"/>
      </w:rPr>
    </w:pPr>
  </w:p>
  <w:p w:rsidR="000B38D7" w:rsidRDefault="0005149F" w:rsidP="000B38D7">
    <w:pPr>
      <w:rPr>
        <w:rFonts w:ascii="Times New Roman" w:hAnsi="Times New Roman"/>
        <w:i/>
        <w:sz w:val="20"/>
        <w:szCs w:val="20"/>
      </w:rPr>
    </w:pPr>
    <w:r w:rsidRPr="00A40263">
      <w:rPr>
        <w:rFonts w:ascii="Times New Roman" w:hAnsi="Times New Roman"/>
        <w:sz w:val="20"/>
        <w:szCs w:val="20"/>
      </w:rPr>
      <w:t>Continuación de la Resolución No.</w:t>
    </w:r>
    <w:r>
      <w:rPr>
        <w:rFonts w:ascii="Times New Roman" w:hAnsi="Times New Roman"/>
        <w:sz w:val="20"/>
        <w:szCs w:val="20"/>
      </w:rPr>
      <w:t xml:space="preserve"> _______________ de fecha</w:t>
    </w:r>
    <w:r w:rsidRPr="00A40263">
      <w:rPr>
        <w:rFonts w:ascii="Times New Roman" w:hAnsi="Times New Roman"/>
        <w:sz w:val="20"/>
        <w:szCs w:val="20"/>
      </w:rPr>
      <w:t xml:space="preserve"> </w:t>
    </w:r>
    <w:r w:rsidRPr="00E624A4">
      <w:rPr>
        <w:rFonts w:ascii="Times New Roman" w:hAnsi="Times New Roman"/>
        <w:i/>
        <w:sz w:val="20"/>
        <w:szCs w:val="20"/>
      </w:rPr>
      <w:t xml:space="preserve">__________________________ </w:t>
    </w:r>
    <w:r>
      <w:rPr>
        <w:rFonts w:ascii="Times New Roman" w:hAnsi="Times New Roman"/>
        <w:i/>
        <w:sz w:val="20"/>
        <w:szCs w:val="20"/>
      </w:rPr>
      <w:t>“</w:t>
    </w:r>
    <w:r w:rsidR="001F22AA" w:rsidRPr="001F22AA">
      <w:rPr>
        <w:rFonts w:ascii="Times New Roman" w:hAnsi="Times New Roman"/>
        <w:i/>
        <w:sz w:val="20"/>
        <w:szCs w:val="20"/>
      </w:rPr>
      <w:t>Por medio de la cual se resuelve el recurso de queja dentro de la Investigación Administrativa No 7981-2021 adelantada por la Subdirección de Vigilancia en Salud Pública de la Secretar</w:t>
    </w:r>
    <w:r w:rsidR="001F22AA">
      <w:rPr>
        <w:rFonts w:ascii="Times New Roman" w:hAnsi="Times New Roman"/>
        <w:i/>
        <w:sz w:val="20"/>
        <w:szCs w:val="20"/>
      </w:rPr>
      <w:t>ía Distrital de Salud de Bogotá</w:t>
    </w:r>
    <w:r w:rsidRPr="008829B7">
      <w:rPr>
        <w:rFonts w:ascii="Times New Roman" w:hAnsi="Times New Roman"/>
        <w:i/>
        <w:sz w:val="20"/>
        <w:szCs w:val="20"/>
      </w:rPr>
      <w:t>.</w:t>
    </w:r>
    <w:r>
      <w:rPr>
        <w:rFonts w:ascii="Times New Roman" w:hAnsi="Times New Roman"/>
        <w:i/>
        <w:sz w:val="20"/>
        <w:szCs w:val="20"/>
      </w:rPr>
      <w:t>”.</w:t>
    </w:r>
    <w:r w:rsidR="001F22AA">
      <w:rPr>
        <w:rFonts w:ascii="Times New Roman" w:hAnsi="Times New Roman"/>
        <w:i/>
        <w:sz w:val="20"/>
        <w:szCs w:val="20"/>
      </w:rPr>
      <w:t xml:space="preserve"> </w:t>
    </w:r>
  </w:p>
  <w:p w:rsidR="00886564" w:rsidRDefault="003E0CDC" w:rsidP="000B38D7">
    <w:pPr>
      <w:rPr>
        <w:rFonts w:ascii="Times New Roman" w:hAnsi="Times New Roman"/>
        <w:i/>
        <w:sz w:val="20"/>
        <w:szCs w:val="20"/>
      </w:rPr>
    </w:pPr>
  </w:p>
  <w:p w:rsidR="00886564" w:rsidRPr="000B38D7" w:rsidRDefault="003E0CDC" w:rsidP="000B38D7">
    <w:pPr>
      <w:rPr>
        <w:rFonts w:ascii="Times New Roman" w:hAnsi="Times New Roman"/>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EE4" w:rsidRPr="00033281" w:rsidRDefault="00475D12" w:rsidP="00033281">
    <w:pPr>
      <w:pStyle w:val="Encabezado"/>
    </w:pPr>
    <w:r w:rsidRPr="00430590">
      <w:rPr>
        <w:noProof/>
        <w:lang w:val="es-CO" w:eastAsia="es-CO" w:bidi="ar-SA"/>
      </w:rPr>
      <w:drawing>
        <wp:inline distT="0" distB="0" distL="0" distR="0" wp14:anchorId="5EDBCDB4" wp14:editId="316F5705">
          <wp:extent cx="5610225" cy="952500"/>
          <wp:effectExtent l="0" t="0" r="952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952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A712D1"/>
    <w:multiLevelType w:val="hybridMultilevel"/>
    <w:tmpl w:val="75DCFB9A"/>
    <w:lvl w:ilvl="0" w:tplc="4CE8C75A">
      <w:start w:val="1"/>
      <w:numFmt w:val="upperRoman"/>
      <w:lvlText w:val="%1."/>
      <w:lvlJc w:val="left"/>
      <w:pPr>
        <w:ind w:left="72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7173D27"/>
    <w:multiLevelType w:val="hybridMultilevel"/>
    <w:tmpl w:val="BEE85F0E"/>
    <w:lvl w:ilvl="0" w:tplc="CF44136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2222AC7"/>
    <w:multiLevelType w:val="multilevel"/>
    <w:tmpl w:val="DFDEC278"/>
    <w:lvl w:ilvl="0">
      <w:start w:val="1"/>
      <w:numFmt w:val="decimal"/>
      <w:lvlText w:val="%1."/>
      <w:lvlJc w:val="left"/>
      <w:pPr>
        <w:ind w:left="1068" w:hanging="360"/>
      </w:pPr>
      <w:rPr>
        <w:rFonts w:eastAsia="Calibri" w:hint="default"/>
        <w:b/>
        <w:sz w:val="20"/>
        <w:szCs w:val="20"/>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B3"/>
    <w:rsid w:val="000136BA"/>
    <w:rsid w:val="0005149F"/>
    <w:rsid w:val="000F6E33"/>
    <w:rsid w:val="001175F5"/>
    <w:rsid w:val="00117D53"/>
    <w:rsid w:val="001218C1"/>
    <w:rsid w:val="0012243F"/>
    <w:rsid w:val="00166A9E"/>
    <w:rsid w:val="001841F6"/>
    <w:rsid w:val="001A5244"/>
    <w:rsid w:val="001A6842"/>
    <w:rsid w:val="001C08CA"/>
    <w:rsid w:val="001C2828"/>
    <w:rsid w:val="001F22AA"/>
    <w:rsid w:val="0027670B"/>
    <w:rsid w:val="002B4C5D"/>
    <w:rsid w:val="002C7E75"/>
    <w:rsid w:val="00313004"/>
    <w:rsid w:val="003742B3"/>
    <w:rsid w:val="003B0B72"/>
    <w:rsid w:val="003E0CDC"/>
    <w:rsid w:val="003F3E45"/>
    <w:rsid w:val="004039E9"/>
    <w:rsid w:val="00410E7D"/>
    <w:rsid w:val="0042532B"/>
    <w:rsid w:val="00427A97"/>
    <w:rsid w:val="004448D9"/>
    <w:rsid w:val="00475D12"/>
    <w:rsid w:val="005700D3"/>
    <w:rsid w:val="00573507"/>
    <w:rsid w:val="00587172"/>
    <w:rsid w:val="005C17D4"/>
    <w:rsid w:val="005D7BA1"/>
    <w:rsid w:val="005F4D7C"/>
    <w:rsid w:val="005F6C8A"/>
    <w:rsid w:val="005F70CA"/>
    <w:rsid w:val="006326FC"/>
    <w:rsid w:val="006632E9"/>
    <w:rsid w:val="006664AE"/>
    <w:rsid w:val="006A4276"/>
    <w:rsid w:val="006A4F84"/>
    <w:rsid w:val="006E2960"/>
    <w:rsid w:val="00752B36"/>
    <w:rsid w:val="00784189"/>
    <w:rsid w:val="007A28E5"/>
    <w:rsid w:val="007C5A21"/>
    <w:rsid w:val="007C6167"/>
    <w:rsid w:val="007D260B"/>
    <w:rsid w:val="007E41E1"/>
    <w:rsid w:val="00865282"/>
    <w:rsid w:val="008B602D"/>
    <w:rsid w:val="008E18F5"/>
    <w:rsid w:val="008F1525"/>
    <w:rsid w:val="00920B37"/>
    <w:rsid w:val="00962146"/>
    <w:rsid w:val="0099231F"/>
    <w:rsid w:val="009C6973"/>
    <w:rsid w:val="009F235B"/>
    <w:rsid w:val="00A04C7E"/>
    <w:rsid w:val="00A04DB8"/>
    <w:rsid w:val="00A15ABE"/>
    <w:rsid w:val="00A622FA"/>
    <w:rsid w:val="00A77372"/>
    <w:rsid w:val="00A966BB"/>
    <w:rsid w:val="00AC66B0"/>
    <w:rsid w:val="00B40E2E"/>
    <w:rsid w:val="00B72038"/>
    <w:rsid w:val="00B73F85"/>
    <w:rsid w:val="00BD3635"/>
    <w:rsid w:val="00C1447C"/>
    <w:rsid w:val="00C410BD"/>
    <w:rsid w:val="00C449D8"/>
    <w:rsid w:val="00C45251"/>
    <w:rsid w:val="00C57511"/>
    <w:rsid w:val="00C87C18"/>
    <w:rsid w:val="00D128F1"/>
    <w:rsid w:val="00D2696B"/>
    <w:rsid w:val="00D27F1F"/>
    <w:rsid w:val="00D35DD9"/>
    <w:rsid w:val="00D5307C"/>
    <w:rsid w:val="00DE7712"/>
    <w:rsid w:val="00E009E9"/>
    <w:rsid w:val="00E13CB5"/>
    <w:rsid w:val="00E21812"/>
    <w:rsid w:val="00E8471F"/>
    <w:rsid w:val="00EE21B0"/>
    <w:rsid w:val="00F20819"/>
    <w:rsid w:val="00F51A45"/>
    <w:rsid w:val="00F8234E"/>
    <w:rsid w:val="00FA45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F963E5"/>
  <w15:chartTrackingRefBased/>
  <w15:docId w15:val="{24867363-AE9D-431C-8B0B-A9D4C4611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B3"/>
    <w:pPr>
      <w:spacing w:after="0" w:line="240" w:lineRule="auto"/>
    </w:pPr>
    <w:rPr>
      <w:rFonts w:ascii="Arial" w:eastAsia="Times New Roman" w:hAnsi="Arial" w:cs="Times New Roman"/>
      <w:sz w:val="24"/>
      <w:szCs w:val="24"/>
      <w:lang w:bidi="he-I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3742B3"/>
    <w:pPr>
      <w:tabs>
        <w:tab w:val="center" w:pos="4252"/>
        <w:tab w:val="right" w:pos="8504"/>
      </w:tabs>
    </w:pPr>
    <w:rPr>
      <w:lang w:val="x-none" w:eastAsia="x-none"/>
    </w:rPr>
  </w:style>
  <w:style w:type="character" w:customStyle="1" w:styleId="PiedepginaCar">
    <w:name w:val="Pie de página Car"/>
    <w:basedOn w:val="Fuentedeprrafopredeter"/>
    <w:link w:val="Piedepgina"/>
    <w:uiPriority w:val="99"/>
    <w:rsid w:val="003742B3"/>
    <w:rPr>
      <w:rFonts w:ascii="Arial" w:eastAsia="Times New Roman" w:hAnsi="Arial" w:cs="Times New Roman"/>
      <w:sz w:val="24"/>
      <w:szCs w:val="24"/>
      <w:lang w:val="x-none" w:eastAsia="x-none" w:bidi="he-IL"/>
    </w:rPr>
  </w:style>
  <w:style w:type="character" w:styleId="Nmerodepgina">
    <w:name w:val="page number"/>
    <w:uiPriority w:val="99"/>
    <w:rsid w:val="003742B3"/>
    <w:rPr>
      <w:rFonts w:cs="Times New Roman"/>
    </w:rPr>
  </w:style>
  <w:style w:type="paragraph" w:customStyle="1" w:styleId="Direccininterior">
    <w:name w:val="Dirección interior"/>
    <w:basedOn w:val="Normal"/>
    <w:rsid w:val="003742B3"/>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3742B3"/>
    <w:pPr>
      <w:tabs>
        <w:tab w:val="center" w:pos="4252"/>
        <w:tab w:val="right" w:pos="8504"/>
      </w:tabs>
    </w:pPr>
    <w:rPr>
      <w:lang w:val="x-none" w:eastAsia="x-none"/>
    </w:rPr>
  </w:style>
  <w:style w:type="character" w:customStyle="1" w:styleId="EncabezadoCar">
    <w:name w:val="Encabezado Car"/>
    <w:basedOn w:val="Fuentedeprrafopredeter"/>
    <w:link w:val="Encabezado"/>
    <w:uiPriority w:val="99"/>
    <w:rsid w:val="003742B3"/>
    <w:rPr>
      <w:rFonts w:ascii="Arial" w:eastAsia="Times New Roman" w:hAnsi="Arial" w:cs="Times New Roman"/>
      <w:sz w:val="24"/>
      <w:szCs w:val="24"/>
      <w:lang w:val="x-none" w:eastAsia="x-none" w:bidi="he-IL"/>
    </w:rPr>
  </w:style>
  <w:style w:type="paragraph" w:styleId="Prrafodelista">
    <w:name w:val="List Paragraph"/>
    <w:basedOn w:val="Normal"/>
    <w:uiPriority w:val="34"/>
    <w:qFormat/>
    <w:rsid w:val="003742B3"/>
    <w:pPr>
      <w:ind w:left="720"/>
      <w:contextualSpacing/>
    </w:pPr>
  </w:style>
  <w:style w:type="paragraph" w:styleId="NormalWeb">
    <w:name w:val="Normal (Web)"/>
    <w:basedOn w:val="Normal"/>
    <w:uiPriority w:val="99"/>
    <w:rsid w:val="003742B3"/>
    <w:pPr>
      <w:spacing w:before="100" w:beforeAutospacing="1" w:after="100" w:afterAutospacing="1"/>
    </w:pPr>
    <w:rPr>
      <w:rFonts w:ascii="Times New Roman" w:hAnsi="Times New Roman"/>
      <w:lang w:val="es-ES" w:eastAsia="es-ES" w:bidi="ar-SA"/>
    </w:rPr>
  </w:style>
  <w:style w:type="character" w:styleId="Textoennegrita">
    <w:name w:val="Strong"/>
    <w:uiPriority w:val="22"/>
    <w:qFormat/>
    <w:rsid w:val="003742B3"/>
    <w:rPr>
      <w:b/>
      <w:bCs/>
    </w:rPr>
  </w:style>
  <w:style w:type="character" w:customStyle="1" w:styleId="normaltextrun">
    <w:name w:val="normaltextrun"/>
    <w:rsid w:val="00F20819"/>
  </w:style>
  <w:style w:type="paragraph" w:styleId="Textodeglobo">
    <w:name w:val="Balloon Text"/>
    <w:basedOn w:val="Normal"/>
    <w:link w:val="TextodegloboCar"/>
    <w:uiPriority w:val="99"/>
    <w:semiHidden/>
    <w:unhideWhenUsed/>
    <w:rsid w:val="000F6E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F6E33"/>
    <w:rPr>
      <w:rFonts w:ascii="Segoe UI" w:eastAsia="Times New Roman" w:hAnsi="Segoe UI" w:cs="Segoe UI"/>
      <w:sz w:val="18"/>
      <w:szCs w:val="18"/>
      <w:lang w:bidi="he-IL"/>
    </w:rPr>
  </w:style>
  <w:style w:type="paragraph" w:styleId="Textonotapie">
    <w:name w:val="footnote text"/>
    <w:basedOn w:val="Normal"/>
    <w:link w:val="TextonotapieCar"/>
    <w:uiPriority w:val="99"/>
    <w:semiHidden/>
    <w:unhideWhenUsed/>
    <w:rsid w:val="00F51A45"/>
    <w:rPr>
      <w:sz w:val="20"/>
      <w:szCs w:val="20"/>
    </w:rPr>
  </w:style>
  <w:style w:type="character" w:customStyle="1" w:styleId="TextonotapieCar">
    <w:name w:val="Texto nota pie Car"/>
    <w:basedOn w:val="Fuentedeprrafopredeter"/>
    <w:link w:val="Textonotapie"/>
    <w:uiPriority w:val="99"/>
    <w:semiHidden/>
    <w:rsid w:val="00F51A45"/>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F51A4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198F3-C646-420F-8A0D-0CACB798B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7</Pages>
  <Words>2769</Words>
  <Characters>15233</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Giovanny Edgardo, Fajardo Jimenez</dc:creator>
  <cp:keywords/>
  <dc:description/>
  <cp:lastModifiedBy>Giovanny Edgardo, Fajardo Jimenez</cp:lastModifiedBy>
  <cp:revision>71</cp:revision>
  <cp:lastPrinted>2025-09-16T15:17:00Z</cp:lastPrinted>
  <dcterms:created xsi:type="dcterms:W3CDTF">2025-09-15T14:36:00Z</dcterms:created>
  <dcterms:modified xsi:type="dcterms:W3CDTF">2025-09-16T15:41:00Z</dcterms:modified>
</cp:coreProperties>
</file>